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8D18D">
      <w:pPr>
        <w:jc w:val="center"/>
        <w:rPr>
          <w:b/>
          <w:bCs/>
          <w:sz w:val="26"/>
          <w:szCs w:val="26"/>
        </w:rPr>
      </w:pPr>
      <w:bookmarkStart w:id="0" w:name="_GoBack"/>
      <w:bookmarkEnd w:id="0"/>
      <w:r>
        <w:rPr>
          <w:b/>
          <w:bCs/>
          <w:sz w:val="26"/>
          <w:szCs w:val="26"/>
        </w:rPr>
        <w:t xml:space="preserve">Normativas aplicables en materia de la construcción </w:t>
      </w:r>
    </w:p>
    <w:p w14:paraId="152DA6C6">
      <w:pPr>
        <w:spacing w:after="0" w:line="276" w:lineRule="auto"/>
        <w:rPr>
          <w:rFonts w:ascii="Times New Roman" w:hAnsi="Times New Roman" w:eastAsia="Times New Roman" w:cs="Times New Roman"/>
          <w:b/>
          <w:bCs/>
          <w:kern w:val="0"/>
          <w:sz w:val="24"/>
          <w:szCs w:val="24"/>
          <w:lang w:eastAsia="es-ES"/>
          <w14:ligatures w14:val="none"/>
        </w:rPr>
      </w:pPr>
      <w:r>
        <w:rPr>
          <w:rFonts w:ascii="Times New Roman" w:hAnsi="Times New Roman" w:eastAsia="Times New Roman" w:cs="Times New Roman"/>
          <w:b/>
          <w:bCs/>
          <w:kern w:val="0"/>
          <w:sz w:val="24"/>
          <w:szCs w:val="24"/>
          <w:lang w:eastAsia="es-ES"/>
          <w14:ligatures w14:val="none"/>
        </w:rPr>
        <w:t>Anexo.15</w:t>
      </w:r>
    </w:p>
    <w:p w14:paraId="12547977">
      <w:pPr>
        <w:spacing w:after="0" w:line="276" w:lineRule="auto"/>
        <w:rPr>
          <w:rFonts w:ascii="Times New Roman" w:hAnsi="Times New Roman" w:eastAsia="Times New Roman" w:cs="Times New Roman"/>
          <w:b/>
          <w:bCs/>
          <w:kern w:val="0"/>
          <w:sz w:val="24"/>
          <w:szCs w:val="24"/>
          <w:lang w:eastAsia="es-ES"/>
          <w14:ligatures w14:val="none"/>
        </w:rPr>
      </w:pPr>
    </w:p>
    <w:p w14:paraId="1363C95B">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La obra en referencia deberá cumplir con todas las normativas aplicables y vigentes en materia de la construcción dominicana, Las Normas y Reglamentos del Ministerio de Obras Públicas y Comunicaciones (MOPC).</w:t>
      </w:r>
    </w:p>
    <w:p w14:paraId="76952D83">
      <w:pPr>
        <w:spacing w:after="0" w:line="276" w:lineRule="auto"/>
        <w:jc w:val="both"/>
        <w:rPr>
          <w:rFonts w:ascii="Times New Roman" w:hAnsi="Times New Roman" w:eastAsia="Times New Roman" w:cs="Times New Roman"/>
          <w:kern w:val="0"/>
          <w:sz w:val="24"/>
          <w:szCs w:val="24"/>
          <w:lang w:eastAsia="es-ES"/>
          <w14:ligatures w14:val="none"/>
        </w:rPr>
      </w:pPr>
    </w:p>
    <w:p w14:paraId="3C9E2D57">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•Reglamento M-003: Reglamento para instalaciones eléctricas en edificaciones. </w:t>
      </w:r>
    </w:p>
    <w:p w14:paraId="76307036">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2da edición. Parte I. (MOPC).</w:t>
      </w:r>
    </w:p>
    <w:p w14:paraId="05B59ED4">
      <w:pPr>
        <w:spacing w:after="0" w:line="276" w:lineRule="auto"/>
        <w:jc w:val="both"/>
        <w:rPr>
          <w:rFonts w:ascii="Times New Roman" w:hAnsi="Times New Roman" w:eastAsia="Times New Roman" w:cs="Times New Roman"/>
          <w:kern w:val="0"/>
          <w:sz w:val="24"/>
          <w:szCs w:val="24"/>
          <w:lang w:eastAsia="es-ES"/>
          <w14:ligatures w14:val="none"/>
        </w:rPr>
      </w:pPr>
    </w:p>
    <w:p w14:paraId="3B4DC4C0">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•Reglamento M-006: Reglamento para la supervisión e inspección general de obras. (Decreto 232-17, deroga el Decreto No. 670-10).</w:t>
      </w:r>
    </w:p>
    <w:p w14:paraId="0545713F">
      <w:pPr>
        <w:spacing w:after="0" w:line="276" w:lineRule="auto"/>
        <w:jc w:val="both"/>
        <w:rPr>
          <w:rFonts w:ascii="Times New Roman" w:hAnsi="Times New Roman" w:eastAsia="Times New Roman" w:cs="Times New Roman"/>
          <w:kern w:val="0"/>
          <w:sz w:val="24"/>
          <w:szCs w:val="24"/>
          <w:lang w:eastAsia="es-ES"/>
          <w14:ligatures w14:val="none"/>
        </w:rPr>
      </w:pPr>
    </w:p>
    <w:p w14:paraId="3181BA6A">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•Reglamento M-007: Reglamento para proyectar sin barreras arquitectónicas del Ministerio de Obras Públicas y Comunicaciones (MOPC).</w:t>
      </w:r>
    </w:p>
    <w:p w14:paraId="71065EC0">
      <w:pPr>
        <w:spacing w:after="0" w:line="276" w:lineRule="auto"/>
        <w:jc w:val="both"/>
        <w:rPr>
          <w:rFonts w:ascii="Times New Roman" w:hAnsi="Times New Roman" w:eastAsia="Times New Roman" w:cs="Times New Roman"/>
          <w:kern w:val="0"/>
          <w:sz w:val="24"/>
          <w:szCs w:val="24"/>
          <w:lang w:eastAsia="es-ES"/>
          <w14:ligatures w14:val="none"/>
        </w:rPr>
      </w:pPr>
    </w:p>
    <w:p w14:paraId="58D944FB">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•Reglamento M-008: Reglamento para el diseño y la construcción de instalaciones sanitarias en edificaciones del Ministerio de Obras Públicas y Comunicaciones (MOPC). </w:t>
      </w:r>
    </w:p>
    <w:p w14:paraId="3D4460F2">
      <w:pPr>
        <w:spacing w:after="0" w:line="276" w:lineRule="auto"/>
        <w:jc w:val="both"/>
        <w:rPr>
          <w:rFonts w:ascii="Times New Roman" w:hAnsi="Times New Roman" w:eastAsia="Times New Roman" w:cs="Times New Roman"/>
          <w:kern w:val="0"/>
          <w:sz w:val="24"/>
          <w:szCs w:val="24"/>
          <w:lang w:eastAsia="es-ES"/>
          <w14:ligatures w14:val="none"/>
        </w:rPr>
      </w:pPr>
    </w:p>
    <w:p w14:paraId="22382E2C">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•Reglamento M-009: Especificaciones generales para la construcción de edificaciones del Ministerio de Obras Públicas y Comunicaciones (MOPC). </w:t>
      </w:r>
    </w:p>
    <w:p w14:paraId="784F6FC7">
      <w:pPr>
        <w:spacing w:after="0" w:line="276" w:lineRule="auto"/>
        <w:jc w:val="both"/>
        <w:rPr>
          <w:rFonts w:ascii="Times New Roman" w:hAnsi="Times New Roman" w:eastAsia="Times New Roman" w:cs="Times New Roman"/>
          <w:kern w:val="0"/>
          <w:sz w:val="24"/>
          <w:szCs w:val="24"/>
          <w:lang w:eastAsia="es-ES"/>
          <w14:ligatures w14:val="none"/>
        </w:rPr>
      </w:pPr>
    </w:p>
    <w:p w14:paraId="6050116B">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•Reglamento M-010: Reglamento para instalaciones eléctricas en edificaciones Parte II del Ministerio de Obras Públicas y Comunicaciones (MOPC). </w:t>
      </w:r>
    </w:p>
    <w:p w14:paraId="4167BF2C">
      <w:pPr>
        <w:spacing w:after="0" w:line="276" w:lineRule="auto"/>
        <w:jc w:val="both"/>
        <w:rPr>
          <w:rFonts w:ascii="Times New Roman" w:hAnsi="Times New Roman" w:eastAsia="Times New Roman" w:cs="Times New Roman"/>
          <w:kern w:val="0"/>
          <w:sz w:val="24"/>
          <w:szCs w:val="24"/>
          <w:lang w:eastAsia="es-ES"/>
          <w14:ligatures w14:val="none"/>
        </w:rPr>
      </w:pPr>
    </w:p>
    <w:p w14:paraId="7AB921FD">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•Reglamento R-027:  Reglamento para diseño y construcción de edificios en mampostería estructural del МОРС.</w:t>
      </w:r>
    </w:p>
    <w:p w14:paraId="45A029AA">
      <w:pPr>
        <w:spacing w:after="0" w:line="276" w:lineRule="auto"/>
        <w:jc w:val="both"/>
        <w:rPr>
          <w:rFonts w:ascii="Times New Roman" w:hAnsi="Times New Roman" w:eastAsia="Times New Roman" w:cs="Times New Roman"/>
          <w:kern w:val="0"/>
          <w:sz w:val="24"/>
          <w:szCs w:val="24"/>
          <w:lang w:eastAsia="es-ES"/>
          <w14:ligatures w14:val="none"/>
        </w:rPr>
      </w:pPr>
    </w:p>
    <w:p w14:paraId="2B59EB3C">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•Reglamento R-031:  Reglamento para el diseño de medios de circulación vertical en edificaciones. Segunda edición decreto No. 361-15, sustituye el decreto No. 84-1.</w:t>
      </w:r>
    </w:p>
    <w:p w14:paraId="6D23B43A">
      <w:pPr>
        <w:spacing w:after="0" w:line="276" w:lineRule="auto"/>
        <w:jc w:val="both"/>
        <w:rPr>
          <w:rFonts w:ascii="Times New Roman" w:hAnsi="Times New Roman" w:eastAsia="Times New Roman" w:cs="Times New Roman"/>
          <w:kern w:val="0"/>
          <w:sz w:val="24"/>
          <w:szCs w:val="24"/>
          <w:lang w:eastAsia="es-ES"/>
          <w14:ligatures w14:val="none"/>
        </w:rPr>
      </w:pPr>
    </w:p>
    <w:p w14:paraId="6FD4EB5E">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•Normas, Reglamentos o disposiciones aplicables emitidas por el Ministerio de Medio Ambiente y Recursos Naturales. </w:t>
      </w:r>
    </w:p>
    <w:p w14:paraId="4DFD8E26">
      <w:pPr>
        <w:spacing w:after="0" w:line="276" w:lineRule="auto"/>
        <w:rPr>
          <w:rFonts w:ascii="Times New Roman" w:hAnsi="Times New Roman" w:eastAsia="Times New Roman" w:cs="Times New Roman"/>
          <w:kern w:val="0"/>
          <w:sz w:val="24"/>
          <w:szCs w:val="24"/>
          <w:lang w:eastAsia="es-ES"/>
          <w14:ligatures w14:val="none"/>
        </w:rPr>
      </w:pPr>
    </w:p>
    <w:p w14:paraId="13432551">
      <w:pPr>
        <w:spacing w:after="0" w:line="276" w:lineRule="auto"/>
        <w:jc w:val="both"/>
        <w:rPr>
          <w:rFonts w:ascii="Times New Roman" w:hAnsi="Times New Roman" w:eastAsia="Times New Roman" w:cs="Times New Roman"/>
          <w:b/>
          <w:bCs/>
          <w:kern w:val="0"/>
          <w:sz w:val="24"/>
          <w:szCs w:val="24"/>
          <w:lang w:eastAsia="es-ES"/>
          <w14:ligatures w14:val="none"/>
        </w:rPr>
      </w:pPr>
      <w:r>
        <w:rPr>
          <w:rFonts w:ascii="Times New Roman" w:hAnsi="Times New Roman" w:eastAsia="Times New Roman" w:cs="Times New Roman"/>
          <w:b/>
          <w:bCs/>
          <w:kern w:val="0"/>
          <w:sz w:val="24"/>
          <w:szCs w:val="24"/>
          <w:lang w:eastAsia="es-ES"/>
          <w14:ligatures w14:val="none"/>
        </w:rPr>
        <w:t>Condiciones Generales</w:t>
      </w:r>
    </w:p>
    <w:p w14:paraId="1E816CB4">
      <w:pPr>
        <w:spacing w:after="0" w:line="276" w:lineRule="auto"/>
        <w:jc w:val="both"/>
        <w:rPr>
          <w:rFonts w:ascii="Times New Roman" w:hAnsi="Times New Roman" w:eastAsia="Times New Roman" w:cs="Times New Roman"/>
          <w:kern w:val="0"/>
          <w:sz w:val="24"/>
          <w:szCs w:val="24"/>
          <w:lang w:eastAsia="es-ES"/>
          <w14:ligatures w14:val="none"/>
        </w:rPr>
      </w:pPr>
    </w:p>
    <w:p w14:paraId="11FB6248">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a. </w:t>
      </w:r>
      <w:r>
        <w:rPr>
          <w:rFonts w:ascii="Times New Roman" w:hAnsi="Times New Roman" w:eastAsia="Times New Roman" w:cs="Times New Roman"/>
          <w:b/>
          <w:bCs/>
          <w:kern w:val="0"/>
          <w:sz w:val="24"/>
          <w:szCs w:val="24"/>
          <w:lang w:eastAsia="es-ES"/>
          <w14:ligatures w14:val="none"/>
        </w:rPr>
        <w:t>Cierres Provisionales</w:t>
      </w:r>
      <w:r>
        <w:rPr>
          <w:rFonts w:ascii="Times New Roman" w:hAnsi="Times New Roman" w:eastAsia="Times New Roman" w:cs="Times New Roman"/>
          <w:kern w:val="0"/>
          <w:sz w:val="24"/>
          <w:szCs w:val="24"/>
          <w:lang w:eastAsia="es-ES"/>
          <w14:ligatures w14:val="none"/>
        </w:rPr>
        <w:t xml:space="preserve">: EL CONTRATISTA cerrará el área de trabajo, con cierre que cumpla con las exigencias de las Ordenanzas Municipales o cualquier otra norma de autoridad competente, las condiciones que aconseja la seguridad de la obra misma y su presentación exterior. </w:t>
      </w:r>
    </w:p>
    <w:p w14:paraId="510EA41B">
      <w:pPr>
        <w:spacing w:after="0" w:line="276" w:lineRule="auto"/>
        <w:jc w:val="both"/>
        <w:rPr>
          <w:rFonts w:ascii="Times New Roman" w:hAnsi="Times New Roman" w:eastAsia="Times New Roman" w:cs="Times New Roman"/>
          <w:kern w:val="0"/>
          <w:sz w:val="24"/>
          <w:szCs w:val="24"/>
          <w:lang w:eastAsia="es-ES"/>
          <w14:ligatures w14:val="none"/>
        </w:rPr>
      </w:pPr>
    </w:p>
    <w:p w14:paraId="73F60D10">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b. </w:t>
      </w:r>
      <w:r>
        <w:rPr>
          <w:rFonts w:ascii="Times New Roman" w:hAnsi="Times New Roman" w:eastAsia="Times New Roman" w:cs="Times New Roman"/>
          <w:b/>
          <w:bCs/>
          <w:kern w:val="0"/>
          <w:sz w:val="24"/>
          <w:szCs w:val="24"/>
          <w:lang w:eastAsia="es-ES"/>
          <w14:ligatures w14:val="none"/>
        </w:rPr>
        <w:t>Letreros de la Obra</w:t>
      </w:r>
      <w:r>
        <w:rPr>
          <w:rFonts w:ascii="Times New Roman" w:hAnsi="Times New Roman" w:eastAsia="Times New Roman" w:cs="Times New Roman"/>
          <w:kern w:val="0"/>
          <w:sz w:val="24"/>
          <w:szCs w:val="24"/>
          <w:lang w:eastAsia="es-ES"/>
          <w14:ligatures w14:val="none"/>
        </w:rPr>
        <w:t>: Se colocarán en lugar visible, los letreros indicativos de la obra, y el letrero referente a la institución contratante, previa coordinación con el AMA en relación con su formato y contenido, los cuales podrán ser colocados por los profesionales o CONTRATISTAS que participan en la construcción y deben ser colocados siempre mientras esté.</w:t>
      </w:r>
    </w:p>
    <w:p w14:paraId="444003AD">
      <w:pPr>
        <w:spacing w:after="0" w:line="276" w:lineRule="auto"/>
        <w:jc w:val="both"/>
        <w:rPr>
          <w:rFonts w:ascii="Times New Roman" w:hAnsi="Times New Roman" w:eastAsia="Times New Roman" w:cs="Times New Roman"/>
          <w:kern w:val="0"/>
          <w:sz w:val="24"/>
          <w:szCs w:val="24"/>
          <w:lang w:eastAsia="es-ES"/>
          <w14:ligatures w14:val="none"/>
        </w:rPr>
      </w:pPr>
    </w:p>
    <w:p w14:paraId="416025C2">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c. </w:t>
      </w:r>
      <w:r>
        <w:rPr>
          <w:rFonts w:ascii="Times New Roman" w:hAnsi="Times New Roman" w:eastAsia="Times New Roman" w:cs="Times New Roman"/>
          <w:b/>
          <w:bCs/>
          <w:kern w:val="0"/>
          <w:sz w:val="24"/>
          <w:szCs w:val="24"/>
          <w:lang w:eastAsia="es-ES"/>
          <w14:ligatures w14:val="none"/>
        </w:rPr>
        <w:t>Dotación del personal</w:t>
      </w:r>
      <w:r>
        <w:rPr>
          <w:rFonts w:ascii="Times New Roman" w:hAnsi="Times New Roman" w:eastAsia="Times New Roman" w:cs="Times New Roman"/>
          <w:kern w:val="0"/>
          <w:sz w:val="24"/>
          <w:szCs w:val="24"/>
          <w:lang w:eastAsia="es-ES"/>
          <w14:ligatures w14:val="none"/>
        </w:rPr>
        <w:t>: Todo el personal que labore en cualquier sitio de la obra por cuenta del CONTRATISTA deberá tener la dotación que requiera según la labor que ejecute y lo que exija el Ministerio de Trabajo, el Reglamento de Seguridad en el Trabajo y cualquier otra normativa que sea aplicable cuanto al número de equipos de acuerdo con la duración del trabajo. La mínima dotación exigida será: casco, chaleco, botas, y guantes.</w:t>
      </w:r>
    </w:p>
    <w:p w14:paraId="74AF4DD2">
      <w:pPr>
        <w:spacing w:after="0" w:line="276" w:lineRule="auto"/>
        <w:jc w:val="both"/>
        <w:rPr>
          <w:rFonts w:ascii="Times New Roman" w:hAnsi="Times New Roman" w:eastAsia="Times New Roman" w:cs="Times New Roman"/>
          <w:kern w:val="0"/>
          <w:sz w:val="24"/>
          <w:szCs w:val="24"/>
          <w:lang w:eastAsia="es-ES"/>
          <w14:ligatures w14:val="none"/>
        </w:rPr>
      </w:pPr>
    </w:p>
    <w:p w14:paraId="20956290">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Además de los implementos anteriormente anotados el personal que lo requiera o lo indique la Dirección General de Adunas deberá contar con gafas, caretas, cinturones de seguridad y cualquier otro elemento si su trabajo así lo amerite. Todo el personal involucrado en la ejecución del proyecto debe utilizar chalecos reflectivos de color verde, permanentemente durante la ejecución del proyecto.</w:t>
      </w:r>
    </w:p>
    <w:p w14:paraId="0EE1B3FA">
      <w:pPr>
        <w:spacing w:after="0" w:line="276" w:lineRule="auto"/>
        <w:jc w:val="both"/>
        <w:rPr>
          <w:rFonts w:ascii="Times New Roman" w:hAnsi="Times New Roman" w:eastAsia="Times New Roman" w:cs="Times New Roman"/>
          <w:kern w:val="0"/>
          <w:sz w:val="24"/>
          <w:szCs w:val="24"/>
          <w:lang w:eastAsia="es-ES"/>
          <w14:ligatures w14:val="none"/>
        </w:rPr>
      </w:pPr>
    </w:p>
    <w:p w14:paraId="1DF2F50C">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d. </w:t>
      </w:r>
      <w:r>
        <w:rPr>
          <w:rFonts w:ascii="Times New Roman" w:hAnsi="Times New Roman" w:eastAsia="Times New Roman" w:cs="Times New Roman"/>
          <w:b/>
          <w:bCs/>
          <w:kern w:val="0"/>
          <w:sz w:val="24"/>
          <w:szCs w:val="24"/>
          <w:lang w:eastAsia="es-ES"/>
          <w14:ligatures w14:val="none"/>
        </w:rPr>
        <w:t>Seguridad del Personal</w:t>
      </w:r>
      <w:r>
        <w:rPr>
          <w:rFonts w:ascii="Times New Roman" w:hAnsi="Times New Roman" w:eastAsia="Times New Roman" w:cs="Times New Roman"/>
          <w:kern w:val="0"/>
          <w:sz w:val="24"/>
          <w:szCs w:val="24"/>
          <w:lang w:eastAsia="es-ES"/>
          <w14:ligatures w14:val="none"/>
        </w:rPr>
        <w:t>: EL CONTRATISTA deberá acatar todas las normas aplicables a la construcción y todas las medidas de seguridad de su personal y de terceros, en cuanto a la prevención de accidentes y seguridad del Reglamento de Seguridad en el Trabajo y cualquier otra normativa que fuera aplicable y que esté vigente y haya sido dictada por las entidades competentes, las cuales serán publicadas en los lugares más visibles.</w:t>
      </w:r>
    </w:p>
    <w:p w14:paraId="4D1D9471">
      <w:pPr>
        <w:spacing w:after="0" w:line="276" w:lineRule="auto"/>
        <w:jc w:val="both"/>
        <w:rPr>
          <w:rFonts w:ascii="Times New Roman" w:hAnsi="Times New Roman" w:eastAsia="Times New Roman" w:cs="Times New Roman"/>
          <w:kern w:val="0"/>
          <w:sz w:val="24"/>
          <w:szCs w:val="24"/>
          <w:lang w:eastAsia="es-ES"/>
          <w14:ligatures w14:val="none"/>
        </w:rPr>
      </w:pPr>
    </w:p>
    <w:p w14:paraId="0CAF92D2">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e. </w:t>
      </w:r>
      <w:r>
        <w:rPr>
          <w:rFonts w:ascii="Times New Roman" w:hAnsi="Times New Roman" w:eastAsia="Times New Roman" w:cs="Times New Roman"/>
          <w:b/>
          <w:bCs/>
          <w:kern w:val="0"/>
          <w:sz w:val="24"/>
          <w:szCs w:val="24"/>
          <w:lang w:eastAsia="es-ES"/>
          <w14:ligatures w14:val="none"/>
        </w:rPr>
        <w:t>Transporte Interno</w:t>
      </w:r>
      <w:r>
        <w:rPr>
          <w:rFonts w:ascii="Times New Roman" w:hAnsi="Times New Roman" w:eastAsia="Times New Roman" w:cs="Times New Roman"/>
          <w:kern w:val="0"/>
          <w:sz w:val="24"/>
          <w:szCs w:val="24"/>
          <w:lang w:eastAsia="es-ES"/>
          <w14:ligatures w14:val="none"/>
        </w:rPr>
        <w:t>: Todo transporte vertical y horizontal de cualquier material o equipo que requiera EL CONTRATISTA deberá considerarlo dentro de cada precio unitario.</w:t>
      </w:r>
    </w:p>
    <w:p w14:paraId="320517C8">
      <w:pPr>
        <w:spacing w:after="0" w:line="276" w:lineRule="auto"/>
        <w:jc w:val="both"/>
        <w:rPr>
          <w:rFonts w:ascii="Times New Roman" w:hAnsi="Times New Roman" w:eastAsia="Times New Roman" w:cs="Times New Roman"/>
          <w:kern w:val="0"/>
          <w:sz w:val="24"/>
          <w:szCs w:val="24"/>
          <w:lang w:eastAsia="es-ES"/>
          <w14:ligatures w14:val="none"/>
        </w:rPr>
      </w:pPr>
    </w:p>
    <w:p w14:paraId="46A04460">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f. </w:t>
      </w:r>
      <w:r>
        <w:rPr>
          <w:rFonts w:ascii="Times New Roman" w:hAnsi="Times New Roman" w:eastAsia="Times New Roman" w:cs="Times New Roman"/>
          <w:b/>
          <w:bCs/>
          <w:kern w:val="0"/>
          <w:sz w:val="24"/>
          <w:szCs w:val="24"/>
          <w:lang w:eastAsia="es-ES"/>
          <w14:ligatures w14:val="none"/>
        </w:rPr>
        <w:t>Responsabilidad de sus empleados y daños causados</w:t>
      </w:r>
      <w:r>
        <w:rPr>
          <w:rFonts w:ascii="Times New Roman" w:hAnsi="Times New Roman" w:eastAsia="Times New Roman" w:cs="Times New Roman"/>
          <w:kern w:val="0"/>
          <w:sz w:val="24"/>
          <w:szCs w:val="24"/>
          <w:lang w:eastAsia="es-ES"/>
          <w14:ligatures w14:val="none"/>
        </w:rPr>
        <w:t xml:space="preserve">: EL CONTRATISTA, en su condición de empleador único, deberá cumplir con todas las disposiciones del Código de Trabajo, la Ley No. 87-01 que crea el Sistema Dominicano de Seguridad Social y demás leyes relativas al pago de compensaciones y beneficios de sus empleados, debiendo mantener indemne a la DGA frente a cualquier reclamación, cualquier juicio, demanda o reclamo por omisión de estos. </w:t>
      </w:r>
    </w:p>
    <w:p w14:paraId="04BD765C">
      <w:pPr>
        <w:spacing w:after="0" w:line="276" w:lineRule="auto"/>
        <w:jc w:val="both"/>
        <w:rPr>
          <w:rFonts w:ascii="Times New Roman" w:hAnsi="Times New Roman" w:eastAsia="Times New Roman" w:cs="Times New Roman"/>
          <w:kern w:val="0"/>
          <w:sz w:val="24"/>
          <w:szCs w:val="24"/>
          <w:lang w:eastAsia="es-ES"/>
          <w14:ligatures w14:val="none"/>
        </w:rPr>
      </w:pPr>
    </w:p>
    <w:p w14:paraId="0D6BF8A9">
      <w:pPr>
        <w:spacing w:after="0" w:line="276" w:lineRule="auto"/>
        <w:jc w:val="both"/>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b/>
          <w:bCs/>
          <w:kern w:val="0"/>
          <w:sz w:val="24"/>
          <w:szCs w:val="24"/>
          <w:lang w:eastAsia="es-ES"/>
          <w14:ligatures w14:val="none"/>
        </w:rPr>
        <w:t xml:space="preserve">g. Seguridad de la Obra: </w:t>
      </w:r>
      <w:r>
        <w:rPr>
          <w:rFonts w:ascii="Times New Roman" w:hAnsi="Times New Roman" w:eastAsia="Times New Roman" w:cs="Times New Roman"/>
          <w:kern w:val="0"/>
          <w:sz w:val="24"/>
          <w:szCs w:val="24"/>
          <w:lang w:eastAsia="es-ES"/>
          <w14:ligatures w14:val="none"/>
        </w:rPr>
        <w:t xml:space="preserve">EL CONTRATISTA será responsable de la seguridad de la Obra hasta su entrega y recepción conforme por el AMA, por lo que cualquier daño a la misma previo a la entrega y recepción conforme será de su exclusiva responsabilidad. </w:t>
      </w:r>
    </w:p>
    <w:p w14:paraId="022F2073">
      <w:pPr>
        <w:spacing w:after="0" w:line="276" w:lineRule="auto"/>
        <w:jc w:val="both"/>
        <w:rPr>
          <w:rFonts w:ascii="Times New Roman" w:hAnsi="Times New Roman" w:eastAsia="Times New Roman" w:cs="Times New Roman"/>
          <w:kern w:val="0"/>
          <w:sz w:val="24"/>
          <w:szCs w:val="24"/>
          <w:lang w:eastAsia="es-ES"/>
          <w14:ligatures w14:val="none"/>
        </w:rPr>
      </w:pPr>
    </w:p>
    <w:p w14:paraId="64FC7FF7">
      <w:pPr>
        <w:spacing w:after="0" w:line="276" w:lineRule="auto"/>
        <w:jc w:val="both"/>
        <w:rPr>
          <w:rFonts w:ascii="Times New Roman" w:hAnsi="Times New Roman" w:eastAsia="Times New Roman" w:cs="Times New Roman"/>
          <w:kern w:val="0"/>
          <w:sz w:val="24"/>
          <w:szCs w:val="24"/>
          <w:lang w:eastAsia="es-ES"/>
          <w14:ligatures w14:val="none"/>
        </w:rPr>
      </w:pPr>
    </w:p>
    <w:p w14:paraId="6F05E348">
      <w:pPr>
        <w:spacing w:after="0" w:line="276" w:lineRule="auto"/>
        <w:jc w:val="both"/>
        <w:rPr>
          <w:rFonts w:ascii="Times New Roman" w:hAnsi="Times New Roman" w:eastAsia="Times New Roman" w:cs="Times New Roman"/>
          <w:kern w:val="0"/>
          <w:sz w:val="24"/>
          <w:szCs w:val="24"/>
          <w:lang w:eastAsia="es-ES"/>
          <w14:ligatures w14:val="none"/>
        </w:rPr>
      </w:pPr>
    </w:p>
    <w:p w14:paraId="129ED764">
      <w:pPr>
        <w:spacing w:line="276" w:lineRule="auto"/>
        <w:rPr>
          <w:sz w:val="24"/>
          <w:szCs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egoe UI"/>
    <w:panose1 w:val="00000000000000000000"/>
    <w:charset w:val="86"/>
    <w:family w:val="swiss"/>
    <w:pitch w:val="default"/>
    <w:sig w:usb0="00000000" w:usb1="00000000" w:usb2="00000000" w:usb3="00000000" w:csb0="0000019F" w:csb1="00000000"/>
  </w:font>
  <w:font w:name="Aptos">
    <w:altName w:val="Segoe UI"/>
    <w:panose1 w:val="00000000000000000000"/>
    <w:charset w:val="00"/>
    <w:family w:val="auto"/>
    <w:pitch w:val="default"/>
    <w:sig w:usb0="00000000" w:usb1="00000000" w:usb2="00000000" w:usb3="00000000" w:csb0="00000000" w:csb1="00000000"/>
  </w:font>
  <w:font w:name="Aptos Display">
    <w:altName w:val="Segoe UI Variable Display"/>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UI Variable Display">
    <w:panose1 w:val="00000000000000000000"/>
    <w:charset w:val="00"/>
    <w:family w:val="auto"/>
    <w:pitch w:val="default"/>
    <w:sig w:usb0="A00002FF" w:usb1="0000000B" w:usb2="00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1D2"/>
    <w:rsid w:val="00121D55"/>
    <w:rsid w:val="003C24F6"/>
    <w:rsid w:val="00701330"/>
    <w:rsid w:val="0077043A"/>
    <w:rsid w:val="008B40BE"/>
    <w:rsid w:val="009D4685"/>
    <w:rsid w:val="00A4101F"/>
    <w:rsid w:val="00A861D2"/>
    <w:rsid w:val="00B27E65"/>
    <w:rsid w:val="00BC42AF"/>
    <w:rsid w:val="00C97D8B"/>
    <w:rsid w:val="71BC1C32"/>
  </w:rsids>
  <m:mathPr>
    <m:mathFont m:val="Cambria Math"/>
    <m:brkBin m:val="before"/>
    <m:brkBinSub m:val="--"/>
    <m:smallFrac m:val="0"/>
    <m:dispDef/>
    <m:lMargin m:val="0"/>
    <m:rMargin m:val="0"/>
    <m:defJc m:val="centerGroup"/>
    <m:wrapIndent m:val="1440"/>
    <m:intLim m:val="subSup"/>
    <m:naryLim m:val="undOvr"/>
  </m:mathPr>
  <w:themeFontLang w:val="es-DO"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DO" w:eastAsia="en-US"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Título 1 C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16">
    <w:name w:val="Título 2 C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17">
    <w:name w:val="Título 3 Car"/>
    <w:basedOn w:val="11"/>
    <w:link w:val="4"/>
    <w:semiHidden/>
    <w:uiPriority w:val="9"/>
    <w:rPr>
      <w:rFonts w:eastAsiaTheme="majorEastAsia" w:cstheme="majorBidi"/>
      <w:color w:val="104862" w:themeColor="accent1" w:themeShade="BF"/>
      <w:sz w:val="28"/>
      <w:szCs w:val="28"/>
    </w:rPr>
  </w:style>
  <w:style w:type="character" w:customStyle="1" w:styleId="18">
    <w:name w:val="Título 4 Car"/>
    <w:basedOn w:val="11"/>
    <w:link w:val="5"/>
    <w:semiHidden/>
    <w:uiPriority w:val="9"/>
    <w:rPr>
      <w:rFonts w:eastAsiaTheme="majorEastAsia" w:cstheme="majorBidi"/>
      <w:i/>
      <w:iCs/>
      <w:color w:val="104862" w:themeColor="accent1" w:themeShade="BF"/>
    </w:rPr>
  </w:style>
  <w:style w:type="character" w:customStyle="1" w:styleId="19">
    <w:name w:val="Título 5 Car"/>
    <w:basedOn w:val="11"/>
    <w:link w:val="6"/>
    <w:semiHidden/>
    <w:uiPriority w:val="9"/>
    <w:rPr>
      <w:rFonts w:eastAsiaTheme="majorEastAsia" w:cstheme="majorBidi"/>
      <w:color w:val="104862" w:themeColor="accent1" w:themeShade="BF"/>
    </w:rPr>
  </w:style>
  <w:style w:type="character" w:customStyle="1" w:styleId="20">
    <w:name w:val="Título 6 C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Título 7 C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Título 8 C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Título 9 C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ítulo C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ítulo Car"/>
    <w:basedOn w:val="11"/>
    <w:link w:val="13"/>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Cita Car"/>
    <w:basedOn w:val="11"/>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104862" w:themeColor="accent1" w:themeShade="BF"/>
    </w:rPr>
  </w:style>
  <w:style w:type="paragraph" w:styleId="30">
    <w:name w:val="Intense Quote"/>
    <w:basedOn w:val="1"/>
    <w:next w:val="1"/>
    <w:link w:val="31"/>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1">
    <w:name w:val="Cita destacada Car"/>
    <w:basedOn w:val="11"/>
    <w:link w:val="30"/>
    <w:qFormat/>
    <w:uiPriority w:val="30"/>
    <w:rPr>
      <w:i/>
      <w:iCs/>
      <w:color w:val="104862" w:themeColor="accent1" w:themeShade="BF"/>
    </w:rPr>
  </w:style>
  <w:style w:type="character" w:customStyle="1" w:styleId="32">
    <w:name w:val="Intense Reference"/>
    <w:basedOn w:val="11"/>
    <w:qFormat/>
    <w:uiPriority w:val="32"/>
    <w:rPr>
      <w:b/>
      <w:bCs/>
      <w:smallCaps/>
      <w:color w:val="104862" w:themeColor="accent1" w:themeShade="BF"/>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639</Words>
  <Characters>3633</Characters>
  <Lines>30</Lines>
  <Paragraphs>8</Paragraphs>
  <TotalTime>6</TotalTime>
  <ScaleCrop>false</ScaleCrop>
  <LinksUpToDate>false</LinksUpToDate>
  <CharactersWithSpaces>4261</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2024-09-04T18:31:00Z</dcterms:created>
  <dc:creator>Gabriel Rijo Reyes</dc:creator>
  <cp:lastModifiedBy>ca.polanco</cp:lastModifiedBy>
  <dcterms:modified xsi:type="dcterms:W3CDTF">2026-10-02T16:45:11Z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3082-12.1.0.28485</vt:lpwstr>
  </property>
  <property fmtid="{D5CDD505-2E9C-101B-9397-08002B2CF9AE}" pid="3" name="ICV">
    <vt:lpwstr>BE0A42B97EB141719F23D931551659A8_13</vt:lpwstr>
  </property>
</Properties>
</file>