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8D18D" w14:textId="454A913C" w:rsidR="00A861D2" w:rsidRPr="00A861D2" w:rsidRDefault="00A861D2" w:rsidP="00A861D2">
      <w:pPr>
        <w:jc w:val="center"/>
        <w:rPr>
          <w:b/>
          <w:bCs/>
          <w:sz w:val="26"/>
          <w:szCs w:val="26"/>
        </w:rPr>
      </w:pPr>
      <w:r w:rsidRPr="00A861D2">
        <w:rPr>
          <w:b/>
          <w:bCs/>
          <w:sz w:val="26"/>
          <w:szCs w:val="26"/>
        </w:rPr>
        <w:t xml:space="preserve">Normativas aplicables en materia de la construcción </w:t>
      </w:r>
    </w:p>
    <w:p w14:paraId="152DA6C6" w14:textId="01847740" w:rsidR="00A861D2" w:rsidRPr="00A861D2" w:rsidRDefault="009D4685" w:rsidP="00A861D2">
      <w:pPr>
        <w:spacing w:after="0" w:line="276" w:lineRule="auto"/>
        <w:rPr>
          <w:rFonts w:ascii="Times New Roman" w:eastAsia="Times New Roman" w:hAnsi="Times New Roman" w:cs="Times New Roman"/>
          <w:b/>
          <w:bCs/>
          <w:kern w:val="0"/>
          <w:sz w:val="24"/>
          <w:szCs w:val="24"/>
          <w:lang w:eastAsia="es-ES"/>
          <w14:ligatures w14:val="none"/>
        </w:rPr>
      </w:pPr>
      <w:r>
        <w:rPr>
          <w:rFonts w:ascii="Times New Roman" w:eastAsia="Times New Roman" w:hAnsi="Times New Roman" w:cs="Times New Roman"/>
          <w:b/>
          <w:bCs/>
          <w:kern w:val="0"/>
          <w:sz w:val="24"/>
          <w:szCs w:val="24"/>
          <w:lang w:eastAsia="es-ES"/>
          <w14:ligatures w14:val="none"/>
        </w:rPr>
        <w:t>Anexo.15</w:t>
      </w:r>
    </w:p>
    <w:p w14:paraId="12547977" w14:textId="77777777" w:rsidR="00A861D2" w:rsidRPr="00A861D2" w:rsidRDefault="00A861D2" w:rsidP="00A861D2">
      <w:pPr>
        <w:spacing w:after="0" w:line="276" w:lineRule="auto"/>
        <w:rPr>
          <w:rFonts w:ascii="Times New Roman" w:eastAsia="Times New Roman" w:hAnsi="Times New Roman" w:cs="Times New Roman"/>
          <w:b/>
          <w:bCs/>
          <w:kern w:val="0"/>
          <w:sz w:val="24"/>
          <w:szCs w:val="24"/>
          <w:lang w:eastAsia="es-ES"/>
          <w14:ligatures w14:val="none"/>
        </w:rPr>
      </w:pPr>
    </w:p>
    <w:p w14:paraId="1363C95B" w14:textId="4EECD5B9"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La obra en referencia deberá cumplir con todas las normativas aplicables y vigentes en materia de la construcción dominicana, Las Normas y Reglamentos del Ministerio de Obras Públicas y Comunicaciones (MOPC</w:t>
      </w:r>
      <w:r w:rsidR="00BC42AF">
        <w:rPr>
          <w:rFonts w:ascii="Times New Roman" w:eastAsia="Times New Roman" w:hAnsi="Times New Roman" w:cs="Times New Roman"/>
          <w:kern w:val="0"/>
          <w:sz w:val="24"/>
          <w:szCs w:val="24"/>
          <w:lang w:eastAsia="es-ES"/>
          <w14:ligatures w14:val="none"/>
        </w:rPr>
        <w:t>).</w:t>
      </w:r>
    </w:p>
    <w:p w14:paraId="76952D83"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3C9E2D57" w14:textId="3736CE0E" w:rsidR="00BC42AF"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M-003: Reglamento para </w:t>
      </w:r>
      <w:r w:rsidR="00BC42AF">
        <w:rPr>
          <w:rFonts w:ascii="Times New Roman" w:eastAsia="Times New Roman" w:hAnsi="Times New Roman" w:cs="Times New Roman"/>
          <w:kern w:val="0"/>
          <w:sz w:val="24"/>
          <w:szCs w:val="24"/>
          <w:lang w:eastAsia="es-ES"/>
          <w14:ligatures w14:val="none"/>
        </w:rPr>
        <w:t>i</w:t>
      </w:r>
      <w:r w:rsidRPr="00A861D2">
        <w:rPr>
          <w:rFonts w:ascii="Times New Roman" w:eastAsia="Times New Roman" w:hAnsi="Times New Roman" w:cs="Times New Roman"/>
          <w:kern w:val="0"/>
          <w:sz w:val="24"/>
          <w:szCs w:val="24"/>
          <w:lang w:eastAsia="es-ES"/>
          <w14:ligatures w14:val="none"/>
        </w:rPr>
        <w:t xml:space="preserve">nstalaciones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 xml:space="preserve">léctricas en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 xml:space="preserve">dificaciones. </w:t>
      </w:r>
    </w:p>
    <w:p w14:paraId="76307036" w14:textId="7392C472"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2da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dición. Parte I. (MOPC).</w:t>
      </w:r>
    </w:p>
    <w:p w14:paraId="05B59ED4"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3B4DC4C0" w14:textId="116DAA9C"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M-006: Reglamento para la </w:t>
      </w:r>
      <w:r w:rsidR="00BC42AF">
        <w:rPr>
          <w:rFonts w:ascii="Times New Roman" w:eastAsia="Times New Roman" w:hAnsi="Times New Roman" w:cs="Times New Roman"/>
          <w:kern w:val="0"/>
          <w:sz w:val="24"/>
          <w:szCs w:val="24"/>
          <w:lang w:eastAsia="es-ES"/>
          <w14:ligatures w14:val="none"/>
        </w:rPr>
        <w:t>s</w:t>
      </w:r>
      <w:r w:rsidRPr="00A861D2">
        <w:rPr>
          <w:rFonts w:ascii="Times New Roman" w:eastAsia="Times New Roman" w:hAnsi="Times New Roman" w:cs="Times New Roman"/>
          <w:kern w:val="0"/>
          <w:sz w:val="24"/>
          <w:szCs w:val="24"/>
          <w:lang w:eastAsia="es-ES"/>
          <w14:ligatures w14:val="none"/>
        </w:rPr>
        <w:t xml:space="preserve">upervisión e </w:t>
      </w:r>
      <w:r w:rsidR="00BC42AF">
        <w:rPr>
          <w:rFonts w:ascii="Times New Roman" w:eastAsia="Times New Roman" w:hAnsi="Times New Roman" w:cs="Times New Roman"/>
          <w:kern w:val="0"/>
          <w:sz w:val="24"/>
          <w:szCs w:val="24"/>
          <w:lang w:eastAsia="es-ES"/>
          <w14:ligatures w14:val="none"/>
        </w:rPr>
        <w:t>i</w:t>
      </w:r>
      <w:r w:rsidRPr="00A861D2">
        <w:rPr>
          <w:rFonts w:ascii="Times New Roman" w:eastAsia="Times New Roman" w:hAnsi="Times New Roman" w:cs="Times New Roman"/>
          <w:kern w:val="0"/>
          <w:sz w:val="24"/>
          <w:szCs w:val="24"/>
          <w:lang w:eastAsia="es-ES"/>
          <w14:ligatures w14:val="none"/>
        </w:rPr>
        <w:t xml:space="preserve">nspección </w:t>
      </w:r>
      <w:r w:rsidR="00BC42AF">
        <w:rPr>
          <w:rFonts w:ascii="Times New Roman" w:eastAsia="Times New Roman" w:hAnsi="Times New Roman" w:cs="Times New Roman"/>
          <w:kern w:val="0"/>
          <w:sz w:val="24"/>
          <w:szCs w:val="24"/>
          <w:lang w:eastAsia="es-ES"/>
          <w14:ligatures w14:val="none"/>
        </w:rPr>
        <w:t>g</w:t>
      </w:r>
      <w:r w:rsidRPr="00A861D2">
        <w:rPr>
          <w:rFonts w:ascii="Times New Roman" w:eastAsia="Times New Roman" w:hAnsi="Times New Roman" w:cs="Times New Roman"/>
          <w:kern w:val="0"/>
          <w:sz w:val="24"/>
          <w:szCs w:val="24"/>
          <w:lang w:eastAsia="es-ES"/>
          <w14:ligatures w14:val="none"/>
        </w:rPr>
        <w:t xml:space="preserve">eneral de </w:t>
      </w:r>
      <w:r w:rsidR="00BC42AF">
        <w:rPr>
          <w:rFonts w:ascii="Times New Roman" w:eastAsia="Times New Roman" w:hAnsi="Times New Roman" w:cs="Times New Roman"/>
          <w:kern w:val="0"/>
          <w:sz w:val="24"/>
          <w:szCs w:val="24"/>
          <w:lang w:eastAsia="es-ES"/>
          <w14:ligatures w14:val="none"/>
        </w:rPr>
        <w:t>o</w:t>
      </w:r>
      <w:r w:rsidRPr="00A861D2">
        <w:rPr>
          <w:rFonts w:ascii="Times New Roman" w:eastAsia="Times New Roman" w:hAnsi="Times New Roman" w:cs="Times New Roman"/>
          <w:kern w:val="0"/>
          <w:sz w:val="24"/>
          <w:szCs w:val="24"/>
          <w:lang w:eastAsia="es-ES"/>
          <w14:ligatures w14:val="none"/>
        </w:rPr>
        <w:t>bras. (Decreto 232-17, deroga el Decreto No. 670-10).</w:t>
      </w:r>
    </w:p>
    <w:p w14:paraId="0545713F"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3181BA6A" w14:textId="0A4EF084"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M-007: Reglamento para </w:t>
      </w:r>
      <w:r w:rsidR="00BC42AF">
        <w:rPr>
          <w:rFonts w:ascii="Times New Roman" w:eastAsia="Times New Roman" w:hAnsi="Times New Roman" w:cs="Times New Roman"/>
          <w:kern w:val="0"/>
          <w:sz w:val="24"/>
          <w:szCs w:val="24"/>
          <w:lang w:eastAsia="es-ES"/>
          <w14:ligatures w14:val="none"/>
        </w:rPr>
        <w:t>p</w:t>
      </w:r>
      <w:r w:rsidRPr="00A861D2">
        <w:rPr>
          <w:rFonts w:ascii="Times New Roman" w:eastAsia="Times New Roman" w:hAnsi="Times New Roman" w:cs="Times New Roman"/>
          <w:kern w:val="0"/>
          <w:sz w:val="24"/>
          <w:szCs w:val="24"/>
          <w:lang w:eastAsia="es-ES"/>
          <w14:ligatures w14:val="none"/>
        </w:rPr>
        <w:t xml:space="preserve">royectar </w:t>
      </w:r>
      <w:r w:rsidR="00BC42AF">
        <w:rPr>
          <w:rFonts w:ascii="Times New Roman" w:eastAsia="Times New Roman" w:hAnsi="Times New Roman" w:cs="Times New Roman"/>
          <w:kern w:val="0"/>
          <w:sz w:val="24"/>
          <w:szCs w:val="24"/>
          <w:lang w:eastAsia="es-ES"/>
          <w14:ligatures w14:val="none"/>
        </w:rPr>
        <w:t>s</w:t>
      </w:r>
      <w:r w:rsidRPr="00A861D2">
        <w:rPr>
          <w:rFonts w:ascii="Times New Roman" w:eastAsia="Times New Roman" w:hAnsi="Times New Roman" w:cs="Times New Roman"/>
          <w:kern w:val="0"/>
          <w:sz w:val="24"/>
          <w:szCs w:val="24"/>
          <w:lang w:eastAsia="es-ES"/>
          <w14:ligatures w14:val="none"/>
        </w:rPr>
        <w:t xml:space="preserve">in </w:t>
      </w:r>
      <w:r w:rsidR="00BC42AF">
        <w:rPr>
          <w:rFonts w:ascii="Times New Roman" w:eastAsia="Times New Roman" w:hAnsi="Times New Roman" w:cs="Times New Roman"/>
          <w:kern w:val="0"/>
          <w:sz w:val="24"/>
          <w:szCs w:val="24"/>
          <w:lang w:eastAsia="es-ES"/>
          <w14:ligatures w14:val="none"/>
        </w:rPr>
        <w:t>b</w:t>
      </w:r>
      <w:r w:rsidRPr="00A861D2">
        <w:rPr>
          <w:rFonts w:ascii="Times New Roman" w:eastAsia="Times New Roman" w:hAnsi="Times New Roman" w:cs="Times New Roman"/>
          <w:kern w:val="0"/>
          <w:sz w:val="24"/>
          <w:szCs w:val="24"/>
          <w:lang w:eastAsia="es-ES"/>
          <w14:ligatures w14:val="none"/>
        </w:rPr>
        <w:t>arreras</w:t>
      </w:r>
      <w:r w:rsidR="00BC42AF">
        <w:rPr>
          <w:rFonts w:ascii="Times New Roman" w:eastAsia="Times New Roman" w:hAnsi="Times New Roman" w:cs="Times New Roman"/>
          <w:kern w:val="0"/>
          <w:sz w:val="24"/>
          <w:szCs w:val="24"/>
          <w:lang w:eastAsia="es-ES"/>
          <w14:ligatures w14:val="none"/>
        </w:rPr>
        <w:t xml:space="preserve"> a</w:t>
      </w:r>
      <w:r w:rsidRPr="00A861D2">
        <w:rPr>
          <w:rFonts w:ascii="Times New Roman" w:eastAsia="Times New Roman" w:hAnsi="Times New Roman" w:cs="Times New Roman"/>
          <w:kern w:val="0"/>
          <w:sz w:val="24"/>
          <w:szCs w:val="24"/>
          <w:lang w:eastAsia="es-ES"/>
          <w14:ligatures w14:val="none"/>
        </w:rPr>
        <w:t>rquitectónicas del Ministerio de Obras Públicas y Comunicaciones (MOPC).</w:t>
      </w:r>
    </w:p>
    <w:p w14:paraId="71065EC0"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58D944FB" w14:textId="4C8BCF71"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M-008: Reglamento para el </w:t>
      </w:r>
      <w:r w:rsidR="00BC42AF">
        <w:rPr>
          <w:rFonts w:ascii="Times New Roman" w:eastAsia="Times New Roman" w:hAnsi="Times New Roman" w:cs="Times New Roman"/>
          <w:kern w:val="0"/>
          <w:sz w:val="24"/>
          <w:szCs w:val="24"/>
          <w:lang w:eastAsia="es-ES"/>
          <w14:ligatures w14:val="none"/>
        </w:rPr>
        <w:t>d</w:t>
      </w:r>
      <w:r w:rsidRPr="00A861D2">
        <w:rPr>
          <w:rFonts w:ascii="Times New Roman" w:eastAsia="Times New Roman" w:hAnsi="Times New Roman" w:cs="Times New Roman"/>
          <w:kern w:val="0"/>
          <w:sz w:val="24"/>
          <w:szCs w:val="24"/>
          <w:lang w:eastAsia="es-ES"/>
          <w14:ligatures w14:val="none"/>
        </w:rPr>
        <w:t xml:space="preserve">iseño y la </w:t>
      </w:r>
      <w:r w:rsidR="00BC42AF">
        <w:rPr>
          <w:rFonts w:ascii="Times New Roman" w:eastAsia="Times New Roman" w:hAnsi="Times New Roman" w:cs="Times New Roman"/>
          <w:kern w:val="0"/>
          <w:sz w:val="24"/>
          <w:szCs w:val="24"/>
          <w:lang w:eastAsia="es-ES"/>
          <w14:ligatures w14:val="none"/>
        </w:rPr>
        <w:t>c</w:t>
      </w:r>
      <w:r w:rsidRPr="00A861D2">
        <w:rPr>
          <w:rFonts w:ascii="Times New Roman" w:eastAsia="Times New Roman" w:hAnsi="Times New Roman" w:cs="Times New Roman"/>
          <w:kern w:val="0"/>
          <w:sz w:val="24"/>
          <w:szCs w:val="24"/>
          <w:lang w:eastAsia="es-ES"/>
          <w14:ligatures w14:val="none"/>
        </w:rPr>
        <w:t xml:space="preserve">onstrucción de </w:t>
      </w:r>
      <w:r w:rsidR="00BC42AF">
        <w:rPr>
          <w:rFonts w:ascii="Times New Roman" w:eastAsia="Times New Roman" w:hAnsi="Times New Roman" w:cs="Times New Roman"/>
          <w:kern w:val="0"/>
          <w:sz w:val="24"/>
          <w:szCs w:val="24"/>
          <w:lang w:eastAsia="es-ES"/>
          <w14:ligatures w14:val="none"/>
        </w:rPr>
        <w:t>i</w:t>
      </w:r>
      <w:r w:rsidRPr="00A861D2">
        <w:rPr>
          <w:rFonts w:ascii="Times New Roman" w:eastAsia="Times New Roman" w:hAnsi="Times New Roman" w:cs="Times New Roman"/>
          <w:kern w:val="0"/>
          <w:sz w:val="24"/>
          <w:szCs w:val="24"/>
          <w:lang w:eastAsia="es-ES"/>
          <w14:ligatures w14:val="none"/>
        </w:rPr>
        <w:t xml:space="preserve">nstalaciones </w:t>
      </w:r>
      <w:r w:rsidR="00BC42AF">
        <w:rPr>
          <w:rFonts w:ascii="Times New Roman" w:eastAsia="Times New Roman" w:hAnsi="Times New Roman" w:cs="Times New Roman"/>
          <w:kern w:val="0"/>
          <w:sz w:val="24"/>
          <w:szCs w:val="24"/>
          <w:lang w:eastAsia="es-ES"/>
          <w14:ligatures w14:val="none"/>
        </w:rPr>
        <w:t>s</w:t>
      </w:r>
      <w:r w:rsidRPr="00A861D2">
        <w:rPr>
          <w:rFonts w:ascii="Times New Roman" w:eastAsia="Times New Roman" w:hAnsi="Times New Roman" w:cs="Times New Roman"/>
          <w:kern w:val="0"/>
          <w:sz w:val="24"/>
          <w:szCs w:val="24"/>
          <w:lang w:eastAsia="es-ES"/>
          <w14:ligatures w14:val="none"/>
        </w:rPr>
        <w:t xml:space="preserve">anitarias en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 xml:space="preserve">dificaciones del Ministerio de Obras Públicas y Comunicaciones (MOPC). </w:t>
      </w:r>
    </w:p>
    <w:p w14:paraId="3D4460F2"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22382E2C" w14:textId="2AA21285"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M-009: Especificaciones </w:t>
      </w:r>
      <w:r w:rsidR="00BC42AF">
        <w:rPr>
          <w:rFonts w:ascii="Times New Roman" w:eastAsia="Times New Roman" w:hAnsi="Times New Roman" w:cs="Times New Roman"/>
          <w:kern w:val="0"/>
          <w:sz w:val="24"/>
          <w:szCs w:val="24"/>
          <w:lang w:eastAsia="es-ES"/>
          <w14:ligatures w14:val="none"/>
        </w:rPr>
        <w:t>g</w:t>
      </w:r>
      <w:r w:rsidRPr="00A861D2">
        <w:rPr>
          <w:rFonts w:ascii="Times New Roman" w:eastAsia="Times New Roman" w:hAnsi="Times New Roman" w:cs="Times New Roman"/>
          <w:kern w:val="0"/>
          <w:sz w:val="24"/>
          <w:szCs w:val="24"/>
          <w:lang w:eastAsia="es-ES"/>
          <w14:ligatures w14:val="none"/>
        </w:rPr>
        <w:t xml:space="preserve">enerales para la </w:t>
      </w:r>
      <w:r w:rsidR="00BC42AF">
        <w:rPr>
          <w:rFonts w:ascii="Times New Roman" w:eastAsia="Times New Roman" w:hAnsi="Times New Roman" w:cs="Times New Roman"/>
          <w:kern w:val="0"/>
          <w:sz w:val="24"/>
          <w:szCs w:val="24"/>
          <w:lang w:eastAsia="es-ES"/>
          <w14:ligatures w14:val="none"/>
        </w:rPr>
        <w:t>c</w:t>
      </w:r>
      <w:r w:rsidRPr="00A861D2">
        <w:rPr>
          <w:rFonts w:ascii="Times New Roman" w:eastAsia="Times New Roman" w:hAnsi="Times New Roman" w:cs="Times New Roman"/>
          <w:kern w:val="0"/>
          <w:sz w:val="24"/>
          <w:szCs w:val="24"/>
          <w:lang w:eastAsia="es-ES"/>
          <w14:ligatures w14:val="none"/>
        </w:rPr>
        <w:t xml:space="preserve">onstrucción de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 xml:space="preserve">dificaciones del Ministerio de Obras Públicas y Comunicaciones (MOPC). </w:t>
      </w:r>
    </w:p>
    <w:p w14:paraId="784F6FC7"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6050116B" w14:textId="602791DE"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M-010: Reglamento para </w:t>
      </w:r>
      <w:r w:rsidR="00BC42AF">
        <w:rPr>
          <w:rFonts w:ascii="Times New Roman" w:eastAsia="Times New Roman" w:hAnsi="Times New Roman" w:cs="Times New Roman"/>
          <w:kern w:val="0"/>
          <w:sz w:val="24"/>
          <w:szCs w:val="24"/>
          <w:lang w:eastAsia="es-ES"/>
          <w14:ligatures w14:val="none"/>
        </w:rPr>
        <w:t>i</w:t>
      </w:r>
      <w:r w:rsidRPr="00A861D2">
        <w:rPr>
          <w:rFonts w:ascii="Times New Roman" w:eastAsia="Times New Roman" w:hAnsi="Times New Roman" w:cs="Times New Roman"/>
          <w:kern w:val="0"/>
          <w:sz w:val="24"/>
          <w:szCs w:val="24"/>
          <w:lang w:eastAsia="es-ES"/>
          <w14:ligatures w14:val="none"/>
        </w:rPr>
        <w:t xml:space="preserve">nstalaciones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 xml:space="preserve">léctricas en edificaciones Parte II del Ministerio de Obras Públicas y Comunicaciones (MOPC). </w:t>
      </w:r>
    </w:p>
    <w:p w14:paraId="4167BF2C"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7AB921FD" w14:textId="2F0C6A18"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R-027:  Reglamento para </w:t>
      </w:r>
      <w:r w:rsidR="00BC42AF">
        <w:rPr>
          <w:rFonts w:ascii="Times New Roman" w:eastAsia="Times New Roman" w:hAnsi="Times New Roman" w:cs="Times New Roman"/>
          <w:kern w:val="0"/>
          <w:sz w:val="24"/>
          <w:szCs w:val="24"/>
          <w:lang w:eastAsia="es-ES"/>
          <w14:ligatures w14:val="none"/>
        </w:rPr>
        <w:t>d</w:t>
      </w:r>
      <w:r w:rsidRPr="00A861D2">
        <w:rPr>
          <w:rFonts w:ascii="Times New Roman" w:eastAsia="Times New Roman" w:hAnsi="Times New Roman" w:cs="Times New Roman"/>
          <w:kern w:val="0"/>
          <w:sz w:val="24"/>
          <w:szCs w:val="24"/>
          <w:lang w:eastAsia="es-ES"/>
          <w14:ligatures w14:val="none"/>
        </w:rPr>
        <w:t>iseño y</w:t>
      </w:r>
      <w:r w:rsidR="00BC42AF">
        <w:rPr>
          <w:rFonts w:ascii="Times New Roman" w:eastAsia="Times New Roman" w:hAnsi="Times New Roman" w:cs="Times New Roman"/>
          <w:kern w:val="0"/>
          <w:sz w:val="24"/>
          <w:szCs w:val="24"/>
          <w:lang w:eastAsia="es-ES"/>
          <w14:ligatures w14:val="none"/>
        </w:rPr>
        <w:t xml:space="preserve"> c</w:t>
      </w:r>
      <w:r w:rsidRPr="00A861D2">
        <w:rPr>
          <w:rFonts w:ascii="Times New Roman" w:eastAsia="Times New Roman" w:hAnsi="Times New Roman" w:cs="Times New Roman"/>
          <w:kern w:val="0"/>
          <w:sz w:val="24"/>
          <w:szCs w:val="24"/>
          <w:lang w:eastAsia="es-ES"/>
          <w14:ligatures w14:val="none"/>
        </w:rPr>
        <w:t xml:space="preserve">onstrucción de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 xml:space="preserve">dificios en </w:t>
      </w:r>
      <w:r w:rsidR="00BC42AF">
        <w:rPr>
          <w:rFonts w:ascii="Times New Roman" w:eastAsia="Times New Roman" w:hAnsi="Times New Roman" w:cs="Times New Roman"/>
          <w:kern w:val="0"/>
          <w:sz w:val="24"/>
          <w:szCs w:val="24"/>
          <w:lang w:eastAsia="es-ES"/>
          <w14:ligatures w14:val="none"/>
        </w:rPr>
        <w:t>m</w:t>
      </w:r>
      <w:r w:rsidRPr="00A861D2">
        <w:rPr>
          <w:rFonts w:ascii="Times New Roman" w:eastAsia="Times New Roman" w:hAnsi="Times New Roman" w:cs="Times New Roman"/>
          <w:kern w:val="0"/>
          <w:sz w:val="24"/>
          <w:szCs w:val="24"/>
          <w:lang w:eastAsia="es-ES"/>
          <w14:ligatures w14:val="none"/>
        </w:rPr>
        <w:t xml:space="preserve">ampostería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structural del МОРС.</w:t>
      </w:r>
    </w:p>
    <w:p w14:paraId="45A029AA"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2B59EB3C" w14:textId="374954DB" w:rsid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•Reglamento R-031:  Reglamento para el </w:t>
      </w:r>
      <w:r w:rsidR="00BC42AF">
        <w:rPr>
          <w:rFonts w:ascii="Times New Roman" w:eastAsia="Times New Roman" w:hAnsi="Times New Roman" w:cs="Times New Roman"/>
          <w:kern w:val="0"/>
          <w:sz w:val="24"/>
          <w:szCs w:val="24"/>
          <w:lang w:eastAsia="es-ES"/>
          <w14:ligatures w14:val="none"/>
        </w:rPr>
        <w:t>d</w:t>
      </w:r>
      <w:r w:rsidRPr="00A861D2">
        <w:rPr>
          <w:rFonts w:ascii="Times New Roman" w:eastAsia="Times New Roman" w:hAnsi="Times New Roman" w:cs="Times New Roman"/>
          <w:kern w:val="0"/>
          <w:sz w:val="24"/>
          <w:szCs w:val="24"/>
          <w:lang w:eastAsia="es-ES"/>
          <w14:ligatures w14:val="none"/>
        </w:rPr>
        <w:t xml:space="preserve">iseño de </w:t>
      </w:r>
      <w:r w:rsidR="00BC42AF">
        <w:rPr>
          <w:rFonts w:ascii="Times New Roman" w:eastAsia="Times New Roman" w:hAnsi="Times New Roman" w:cs="Times New Roman"/>
          <w:kern w:val="0"/>
          <w:sz w:val="24"/>
          <w:szCs w:val="24"/>
          <w:lang w:eastAsia="es-ES"/>
          <w14:ligatures w14:val="none"/>
        </w:rPr>
        <w:t>m</w:t>
      </w:r>
      <w:r w:rsidRPr="00A861D2">
        <w:rPr>
          <w:rFonts w:ascii="Times New Roman" w:eastAsia="Times New Roman" w:hAnsi="Times New Roman" w:cs="Times New Roman"/>
          <w:kern w:val="0"/>
          <w:sz w:val="24"/>
          <w:szCs w:val="24"/>
          <w:lang w:eastAsia="es-ES"/>
          <w14:ligatures w14:val="none"/>
        </w:rPr>
        <w:t xml:space="preserve">edios de </w:t>
      </w:r>
      <w:r w:rsidR="00BC42AF">
        <w:rPr>
          <w:rFonts w:ascii="Times New Roman" w:eastAsia="Times New Roman" w:hAnsi="Times New Roman" w:cs="Times New Roman"/>
          <w:kern w:val="0"/>
          <w:sz w:val="24"/>
          <w:szCs w:val="24"/>
          <w:lang w:eastAsia="es-ES"/>
          <w14:ligatures w14:val="none"/>
        </w:rPr>
        <w:t>c</w:t>
      </w:r>
      <w:r w:rsidRPr="00A861D2">
        <w:rPr>
          <w:rFonts w:ascii="Times New Roman" w:eastAsia="Times New Roman" w:hAnsi="Times New Roman" w:cs="Times New Roman"/>
          <w:kern w:val="0"/>
          <w:sz w:val="24"/>
          <w:szCs w:val="24"/>
          <w:lang w:eastAsia="es-ES"/>
          <w14:ligatures w14:val="none"/>
        </w:rPr>
        <w:t xml:space="preserve">irculación </w:t>
      </w:r>
      <w:r w:rsidR="00BC42AF">
        <w:rPr>
          <w:rFonts w:ascii="Times New Roman" w:eastAsia="Times New Roman" w:hAnsi="Times New Roman" w:cs="Times New Roman"/>
          <w:kern w:val="0"/>
          <w:sz w:val="24"/>
          <w:szCs w:val="24"/>
          <w:lang w:eastAsia="es-ES"/>
          <w14:ligatures w14:val="none"/>
        </w:rPr>
        <w:t>v</w:t>
      </w:r>
      <w:r w:rsidRPr="00A861D2">
        <w:rPr>
          <w:rFonts w:ascii="Times New Roman" w:eastAsia="Times New Roman" w:hAnsi="Times New Roman" w:cs="Times New Roman"/>
          <w:kern w:val="0"/>
          <w:sz w:val="24"/>
          <w:szCs w:val="24"/>
          <w:lang w:eastAsia="es-ES"/>
          <w14:ligatures w14:val="none"/>
        </w:rPr>
        <w:t xml:space="preserve">ertical en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dificaciones</w:t>
      </w:r>
      <w:r w:rsidR="00BC42AF">
        <w:rPr>
          <w:rFonts w:ascii="Times New Roman" w:eastAsia="Times New Roman" w:hAnsi="Times New Roman" w:cs="Times New Roman"/>
          <w:kern w:val="0"/>
          <w:sz w:val="24"/>
          <w:szCs w:val="24"/>
          <w:lang w:eastAsia="es-ES"/>
          <w14:ligatures w14:val="none"/>
        </w:rPr>
        <w:t>. S</w:t>
      </w:r>
      <w:r w:rsidRPr="00A861D2">
        <w:rPr>
          <w:rFonts w:ascii="Times New Roman" w:eastAsia="Times New Roman" w:hAnsi="Times New Roman" w:cs="Times New Roman"/>
          <w:kern w:val="0"/>
          <w:sz w:val="24"/>
          <w:szCs w:val="24"/>
          <w:lang w:eastAsia="es-ES"/>
          <w14:ligatures w14:val="none"/>
        </w:rPr>
        <w:t xml:space="preserve">egunda </w:t>
      </w:r>
      <w:r w:rsidR="00BC42AF">
        <w:rPr>
          <w:rFonts w:ascii="Times New Roman" w:eastAsia="Times New Roman" w:hAnsi="Times New Roman" w:cs="Times New Roman"/>
          <w:kern w:val="0"/>
          <w:sz w:val="24"/>
          <w:szCs w:val="24"/>
          <w:lang w:eastAsia="es-ES"/>
          <w14:ligatures w14:val="none"/>
        </w:rPr>
        <w:t>e</w:t>
      </w:r>
      <w:r w:rsidRPr="00A861D2">
        <w:rPr>
          <w:rFonts w:ascii="Times New Roman" w:eastAsia="Times New Roman" w:hAnsi="Times New Roman" w:cs="Times New Roman"/>
          <w:kern w:val="0"/>
          <w:sz w:val="24"/>
          <w:szCs w:val="24"/>
          <w:lang w:eastAsia="es-ES"/>
          <w14:ligatures w14:val="none"/>
        </w:rPr>
        <w:t xml:space="preserve">dición </w:t>
      </w:r>
      <w:r w:rsidR="00BC42AF">
        <w:rPr>
          <w:rFonts w:ascii="Times New Roman" w:eastAsia="Times New Roman" w:hAnsi="Times New Roman" w:cs="Times New Roman"/>
          <w:kern w:val="0"/>
          <w:sz w:val="24"/>
          <w:szCs w:val="24"/>
          <w:lang w:eastAsia="es-ES"/>
          <w14:ligatures w14:val="none"/>
        </w:rPr>
        <w:t>d</w:t>
      </w:r>
      <w:r w:rsidRPr="00A861D2">
        <w:rPr>
          <w:rFonts w:ascii="Times New Roman" w:eastAsia="Times New Roman" w:hAnsi="Times New Roman" w:cs="Times New Roman"/>
          <w:kern w:val="0"/>
          <w:sz w:val="24"/>
          <w:szCs w:val="24"/>
          <w:lang w:eastAsia="es-ES"/>
          <w14:ligatures w14:val="none"/>
        </w:rPr>
        <w:t>ecreto No. 361-</w:t>
      </w:r>
      <w:r w:rsidR="00BC42AF" w:rsidRPr="00A861D2">
        <w:rPr>
          <w:rFonts w:ascii="Times New Roman" w:eastAsia="Times New Roman" w:hAnsi="Times New Roman" w:cs="Times New Roman"/>
          <w:kern w:val="0"/>
          <w:sz w:val="24"/>
          <w:szCs w:val="24"/>
          <w:lang w:eastAsia="es-ES"/>
          <w14:ligatures w14:val="none"/>
        </w:rPr>
        <w:t>15,</w:t>
      </w:r>
      <w:r w:rsidR="00BC42AF">
        <w:rPr>
          <w:rFonts w:ascii="Times New Roman" w:eastAsia="Times New Roman" w:hAnsi="Times New Roman" w:cs="Times New Roman"/>
          <w:kern w:val="0"/>
          <w:sz w:val="24"/>
          <w:szCs w:val="24"/>
          <w:lang w:eastAsia="es-ES"/>
          <w14:ligatures w14:val="none"/>
        </w:rPr>
        <w:t xml:space="preserve"> s</w:t>
      </w:r>
      <w:r w:rsidRPr="00A861D2">
        <w:rPr>
          <w:rFonts w:ascii="Times New Roman" w:eastAsia="Times New Roman" w:hAnsi="Times New Roman" w:cs="Times New Roman"/>
          <w:kern w:val="0"/>
          <w:sz w:val="24"/>
          <w:szCs w:val="24"/>
          <w:lang w:eastAsia="es-ES"/>
          <w14:ligatures w14:val="none"/>
        </w:rPr>
        <w:t xml:space="preserve">ustituye el </w:t>
      </w:r>
      <w:r w:rsidR="00BC42AF">
        <w:rPr>
          <w:rFonts w:ascii="Times New Roman" w:eastAsia="Times New Roman" w:hAnsi="Times New Roman" w:cs="Times New Roman"/>
          <w:kern w:val="0"/>
          <w:sz w:val="24"/>
          <w:szCs w:val="24"/>
          <w:lang w:eastAsia="es-ES"/>
          <w14:ligatures w14:val="none"/>
        </w:rPr>
        <w:t>d</w:t>
      </w:r>
      <w:r w:rsidRPr="00A861D2">
        <w:rPr>
          <w:rFonts w:ascii="Times New Roman" w:eastAsia="Times New Roman" w:hAnsi="Times New Roman" w:cs="Times New Roman"/>
          <w:kern w:val="0"/>
          <w:sz w:val="24"/>
          <w:szCs w:val="24"/>
          <w:lang w:eastAsia="es-ES"/>
          <w14:ligatures w14:val="none"/>
        </w:rPr>
        <w:t>ecreto No. 84-1</w:t>
      </w:r>
      <w:r w:rsidR="00A4101F">
        <w:rPr>
          <w:rFonts w:ascii="Times New Roman" w:eastAsia="Times New Roman" w:hAnsi="Times New Roman" w:cs="Times New Roman"/>
          <w:kern w:val="0"/>
          <w:sz w:val="24"/>
          <w:szCs w:val="24"/>
          <w:lang w:eastAsia="es-ES"/>
          <w14:ligatures w14:val="none"/>
        </w:rPr>
        <w:t>.</w:t>
      </w:r>
    </w:p>
    <w:p w14:paraId="6D23B43A" w14:textId="77777777" w:rsidR="00BC42AF" w:rsidRPr="00A861D2" w:rsidRDefault="00BC42AF"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6FD4EB5E" w14:textId="3B29C147" w:rsid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•Normas, Reglamentos o </w:t>
      </w:r>
      <w:r w:rsidR="00BC42AF">
        <w:rPr>
          <w:rFonts w:ascii="Times New Roman" w:eastAsia="Times New Roman" w:hAnsi="Times New Roman" w:cs="Times New Roman"/>
          <w:kern w:val="0"/>
          <w:sz w:val="24"/>
          <w:szCs w:val="24"/>
          <w:lang w:eastAsia="es-ES"/>
          <w14:ligatures w14:val="none"/>
        </w:rPr>
        <w:t>d</w:t>
      </w:r>
      <w:r w:rsidRPr="00A861D2">
        <w:rPr>
          <w:rFonts w:ascii="Times New Roman" w:eastAsia="Times New Roman" w:hAnsi="Times New Roman" w:cs="Times New Roman"/>
          <w:kern w:val="0"/>
          <w:sz w:val="24"/>
          <w:szCs w:val="24"/>
          <w:lang w:eastAsia="es-ES"/>
          <w14:ligatures w14:val="none"/>
        </w:rPr>
        <w:t xml:space="preserve">isposiciones aplicables emitidas por el Ministerio de Medio Ambiente y Recursos Naturales. </w:t>
      </w:r>
    </w:p>
    <w:p w14:paraId="4DFD8E26" w14:textId="77777777" w:rsidR="00A861D2" w:rsidRPr="00A861D2" w:rsidRDefault="00A861D2" w:rsidP="00A861D2">
      <w:pPr>
        <w:spacing w:after="0" w:line="276" w:lineRule="auto"/>
        <w:rPr>
          <w:rFonts w:ascii="Times New Roman" w:eastAsia="Times New Roman" w:hAnsi="Times New Roman" w:cs="Times New Roman"/>
          <w:kern w:val="0"/>
          <w:sz w:val="24"/>
          <w:szCs w:val="24"/>
          <w:lang w:eastAsia="es-ES"/>
          <w14:ligatures w14:val="none"/>
        </w:rPr>
      </w:pPr>
    </w:p>
    <w:p w14:paraId="13432551" w14:textId="77777777" w:rsidR="00A861D2" w:rsidRPr="00A4101F" w:rsidRDefault="00A861D2" w:rsidP="00A4101F">
      <w:pPr>
        <w:spacing w:after="0" w:line="276" w:lineRule="auto"/>
        <w:jc w:val="both"/>
        <w:rPr>
          <w:rFonts w:ascii="Times New Roman" w:eastAsia="Times New Roman" w:hAnsi="Times New Roman" w:cs="Times New Roman"/>
          <w:b/>
          <w:bCs/>
          <w:kern w:val="0"/>
          <w:sz w:val="24"/>
          <w:szCs w:val="24"/>
          <w:lang w:eastAsia="es-ES"/>
          <w14:ligatures w14:val="none"/>
        </w:rPr>
      </w:pPr>
      <w:r w:rsidRPr="00A4101F">
        <w:rPr>
          <w:rFonts w:ascii="Times New Roman" w:eastAsia="Times New Roman" w:hAnsi="Times New Roman" w:cs="Times New Roman"/>
          <w:b/>
          <w:bCs/>
          <w:kern w:val="0"/>
          <w:sz w:val="24"/>
          <w:szCs w:val="24"/>
          <w:lang w:eastAsia="es-ES"/>
          <w14:ligatures w14:val="none"/>
        </w:rPr>
        <w:t>Condiciones Generales</w:t>
      </w:r>
    </w:p>
    <w:p w14:paraId="1E816CB4" w14:textId="77777777" w:rsidR="00A861D2" w:rsidRPr="00A4101F" w:rsidRDefault="00A861D2" w:rsidP="00BC42AF">
      <w:pPr>
        <w:spacing w:after="0" w:line="276" w:lineRule="auto"/>
        <w:jc w:val="both"/>
        <w:rPr>
          <w:rFonts w:ascii="Times New Roman" w:eastAsia="Times New Roman" w:hAnsi="Times New Roman" w:cs="Times New Roman"/>
          <w:kern w:val="0"/>
          <w:sz w:val="24"/>
          <w:szCs w:val="24"/>
          <w:lang w:eastAsia="es-ES"/>
          <w14:ligatures w14:val="none"/>
        </w:rPr>
      </w:pPr>
    </w:p>
    <w:p w14:paraId="11FB6248" w14:textId="77777777" w:rsidR="00A861D2" w:rsidRPr="00A861D2" w:rsidRDefault="00A861D2" w:rsidP="00BC42AF">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a.</w:t>
      </w:r>
      <w:r w:rsidRPr="00A4101F">
        <w:rPr>
          <w:rFonts w:ascii="Times New Roman" w:eastAsia="Times New Roman" w:hAnsi="Times New Roman" w:cs="Times New Roman"/>
          <w:kern w:val="0"/>
          <w:sz w:val="24"/>
          <w:szCs w:val="24"/>
          <w:lang w:eastAsia="es-ES"/>
          <w14:ligatures w14:val="none"/>
        </w:rPr>
        <w:t xml:space="preserve"> </w:t>
      </w:r>
      <w:r w:rsidRPr="00A4101F">
        <w:rPr>
          <w:rFonts w:ascii="Times New Roman" w:eastAsia="Times New Roman" w:hAnsi="Times New Roman" w:cs="Times New Roman"/>
          <w:b/>
          <w:bCs/>
          <w:kern w:val="0"/>
          <w:sz w:val="24"/>
          <w:szCs w:val="24"/>
          <w:lang w:eastAsia="es-ES"/>
          <w14:ligatures w14:val="none"/>
        </w:rPr>
        <w:t>Cierres Provisionales</w:t>
      </w:r>
      <w:r w:rsidRPr="00A4101F">
        <w:rPr>
          <w:rFonts w:ascii="Times New Roman" w:eastAsia="Times New Roman" w:hAnsi="Times New Roman" w:cs="Times New Roman"/>
          <w:kern w:val="0"/>
          <w:sz w:val="24"/>
          <w:szCs w:val="24"/>
          <w:lang w:eastAsia="es-ES"/>
          <w14:ligatures w14:val="none"/>
        </w:rPr>
        <w:t>:</w:t>
      </w:r>
      <w:r w:rsidRPr="00A861D2">
        <w:rPr>
          <w:rFonts w:ascii="Times New Roman" w:eastAsia="Times New Roman" w:hAnsi="Times New Roman" w:cs="Times New Roman"/>
          <w:kern w:val="0"/>
          <w:sz w:val="24"/>
          <w:szCs w:val="24"/>
          <w:lang w:eastAsia="es-ES"/>
          <w14:ligatures w14:val="none"/>
        </w:rPr>
        <w:t xml:space="preserve"> EL CONTRATISTA cerrará el área de trabajo, con cierre que cumpla con las exigencias de las Ordenanzas Municipales o cualquier otra norma de autoridad competente, las condiciones que aconseja la seguridad de la obra misma y su presentación exterior. </w:t>
      </w:r>
    </w:p>
    <w:p w14:paraId="510EA41B" w14:textId="77777777" w:rsidR="00A861D2" w:rsidRPr="00A861D2" w:rsidRDefault="00A861D2" w:rsidP="00BC42AF">
      <w:pPr>
        <w:spacing w:after="0" w:line="276" w:lineRule="auto"/>
        <w:jc w:val="both"/>
        <w:rPr>
          <w:rFonts w:ascii="Times New Roman" w:eastAsia="Times New Roman" w:hAnsi="Times New Roman" w:cs="Times New Roman"/>
          <w:kern w:val="0"/>
          <w:sz w:val="24"/>
          <w:szCs w:val="24"/>
          <w:lang w:eastAsia="es-ES"/>
          <w14:ligatures w14:val="none"/>
        </w:rPr>
      </w:pPr>
    </w:p>
    <w:p w14:paraId="73F60D10" w14:textId="0612EFDA"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b. </w:t>
      </w:r>
      <w:r w:rsidRPr="00A4101F">
        <w:rPr>
          <w:rFonts w:ascii="Times New Roman" w:eastAsia="Times New Roman" w:hAnsi="Times New Roman" w:cs="Times New Roman"/>
          <w:b/>
          <w:bCs/>
          <w:kern w:val="0"/>
          <w:sz w:val="24"/>
          <w:szCs w:val="24"/>
          <w:lang w:eastAsia="es-ES"/>
          <w14:ligatures w14:val="none"/>
        </w:rPr>
        <w:t>Letreros de la Obra</w:t>
      </w:r>
      <w:r w:rsidRPr="00A4101F">
        <w:rPr>
          <w:rFonts w:ascii="Times New Roman" w:eastAsia="Times New Roman" w:hAnsi="Times New Roman" w:cs="Times New Roman"/>
          <w:kern w:val="0"/>
          <w:sz w:val="24"/>
          <w:szCs w:val="24"/>
          <w:lang w:eastAsia="es-ES"/>
          <w14:ligatures w14:val="none"/>
        </w:rPr>
        <w:t>:</w:t>
      </w:r>
      <w:r w:rsidRPr="00A861D2">
        <w:rPr>
          <w:rFonts w:ascii="Times New Roman" w:eastAsia="Times New Roman" w:hAnsi="Times New Roman" w:cs="Times New Roman"/>
          <w:kern w:val="0"/>
          <w:sz w:val="24"/>
          <w:szCs w:val="24"/>
          <w:lang w:eastAsia="es-ES"/>
          <w14:ligatures w14:val="none"/>
        </w:rPr>
        <w:t xml:space="preserve"> Se colocarán en lugar visible, los letreros indicativos de la obra, y el letrero referente a la institución contratante, previa coordinación con el AMA en </w:t>
      </w:r>
      <w:r w:rsidRPr="00A861D2">
        <w:rPr>
          <w:rFonts w:ascii="Times New Roman" w:eastAsia="Times New Roman" w:hAnsi="Times New Roman" w:cs="Times New Roman"/>
          <w:kern w:val="0"/>
          <w:sz w:val="24"/>
          <w:szCs w:val="24"/>
          <w:lang w:eastAsia="es-ES"/>
          <w14:ligatures w14:val="none"/>
        </w:rPr>
        <w:lastRenderedPageBreak/>
        <w:t>relación con su formato y contenido, los cuales podrán ser colocados por los profesionales o CONTRATISTAS que participan en la construcción y deben ser colocados siempre mientras esté.</w:t>
      </w:r>
    </w:p>
    <w:p w14:paraId="444003AD"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416025C2" w14:textId="26C08A44"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c. </w:t>
      </w:r>
      <w:r w:rsidRPr="00A4101F">
        <w:rPr>
          <w:rFonts w:ascii="Times New Roman" w:eastAsia="Times New Roman" w:hAnsi="Times New Roman" w:cs="Times New Roman"/>
          <w:b/>
          <w:bCs/>
          <w:kern w:val="0"/>
          <w:sz w:val="24"/>
          <w:szCs w:val="24"/>
          <w:lang w:eastAsia="es-ES"/>
          <w14:ligatures w14:val="none"/>
        </w:rPr>
        <w:t>Dotación del personal</w:t>
      </w:r>
      <w:r w:rsidRPr="00A4101F">
        <w:rPr>
          <w:rFonts w:ascii="Times New Roman" w:eastAsia="Times New Roman" w:hAnsi="Times New Roman" w:cs="Times New Roman"/>
          <w:kern w:val="0"/>
          <w:sz w:val="24"/>
          <w:szCs w:val="24"/>
          <w:lang w:eastAsia="es-ES"/>
          <w14:ligatures w14:val="none"/>
        </w:rPr>
        <w:t>:</w:t>
      </w:r>
      <w:r w:rsidRPr="00A861D2">
        <w:rPr>
          <w:rFonts w:ascii="Times New Roman" w:eastAsia="Times New Roman" w:hAnsi="Times New Roman" w:cs="Times New Roman"/>
          <w:kern w:val="0"/>
          <w:sz w:val="24"/>
          <w:szCs w:val="24"/>
          <w:lang w:eastAsia="es-ES"/>
          <w14:ligatures w14:val="none"/>
        </w:rPr>
        <w:t xml:space="preserve"> Todo el personal que labore en cualquier sitio de la obra por cuenta del CONTRATISTA deberá tener la dotación que requiera según la labor que ejecute y lo que exija el Ministerio de Trabajo, el Reglamento de Seguridad en el Trabajo y cualquier otra normativa que sea aplicable cuanto al número de equipos de acuerdo con la duración del trabajo. La mínima dotación exigida será: casco, chaleco, botas, y guantes.</w:t>
      </w:r>
    </w:p>
    <w:p w14:paraId="74AF4DD2"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20956290"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Además de los implementos anteriormente anotados el personal que lo requiera o lo indique la Dirección General de Adunas deberá contar con gafas, caretas, cinturones de seguridad y cualquier otro elemento si su trabajo así lo amerite. Todo el personal involucrado en la ejecución del proyecto debe utilizar chalecos reflectivos de color verde, permanentemente durante la ejecución del proyecto.</w:t>
      </w:r>
    </w:p>
    <w:p w14:paraId="0EE1B3FA"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1DF2F50C"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d. </w:t>
      </w:r>
      <w:r w:rsidRPr="00A4101F">
        <w:rPr>
          <w:rFonts w:ascii="Times New Roman" w:eastAsia="Times New Roman" w:hAnsi="Times New Roman" w:cs="Times New Roman"/>
          <w:b/>
          <w:bCs/>
          <w:kern w:val="0"/>
          <w:sz w:val="24"/>
          <w:szCs w:val="24"/>
          <w:lang w:eastAsia="es-ES"/>
          <w14:ligatures w14:val="none"/>
        </w:rPr>
        <w:t>Seguridad del Personal</w:t>
      </w:r>
      <w:r w:rsidRPr="00A4101F">
        <w:rPr>
          <w:rFonts w:ascii="Times New Roman" w:eastAsia="Times New Roman" w:hAnsi="Times New Roman" w:cs="Times New Roman"/>
          <w:kern w:val="0"/>
          <w:sz w:val="24"/>
          <w:szCs w:val="24"/>
          <w:lang w:eastAsia="es-ES"/>
          <w14:ligatures w14:val="none"/>
        </w:rPr>
        <w:t>:</w:t>
      </w:r>
      <w:r w:rsidRPr="00A861D2">
        <w:rPr>
          <w:rFonts w:ascii="Times New Roman" w:eastAsia="Times New Roman" w:hAnsi="Times New Roman" w:cs="Times New Roman"/>
          <w:kern w:val="0"/>
          <w:sz w:val="24"/>
          <w:szCs w:val="24"/>
          <w:lang w:eastAsia="es-ES"/>
          <w14:ligatures w14:val="none"/>
        </w:rPr>
        <w:t xml:space="preserve"> EL CONTRATISTA deberá acatar todas las normas aplicables a la construcción y todas las medidas de seguridad de su personal y de terceros, en cuanto a la prevención de accidentes y seguridad del Reglamento de Seguridad en el Trabajo y cualquier otra normativa que fuera aplicable y que esté vigente y haya sido dictada por las entidades competentes, las cuales serán publicadas en los lugares más visibles.</w:t>
      </w:r>
    </w:p>
    <w:p w14:paraId="4D1D9471"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0CAF92D2"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e. </w:t>
      </w:r>
      <w:r w:rsidRPr="00A4101F">
        <w:rPr>
          <w:rFonts w:ascii="Times New Roman" w:eastAsia="Times New Roman" w:hAnsi="Times New Roman" w:cs="Times New Roman"/>
          <w:b/>
          <w:bCs/>
          <w:kern w:val="0"/>
          <w:sz w:val="24"/>
          <w:szCs w:val="24"/>
          <w:lang w:eastAsia="es-ES"/>
          <w14:ligatures w14:val="none"/>
        </w:rPr>
        <w:t>Transporte Interno</w:t>
      </w:r>
      <w:r w:rsidRPr="00A4101F">
        <w:rPr>
          <w:rFonts w:ascii="Times New Roman" w:eastAsia="Times New Roman" w:hAnsi="Times New Roman" w:cs="Times New Roman"/>
          <w:kern w:val="0"/>
          <w:sz w:val="24"/>
          <w:szCs w:val="24"/>
          <w:lang w:eastAsia="es-ES"/>
          <w14:ligatures w14:val="none"/>
        </w:rPr>
        <w:t>:</w:t>
      </w:r>
      <w:r w:rsidRPr="00A861D2">
        <w:rPr>
          <w:rFonts w:ascii="Times New Roman" w:eastAsia="Times New Roman" w:hAnsi="Times New Roman" w:cs="Times New Roman"/>
          <w:kern w:val="0"/>
          <w:sz w:val="24"/>
          <w:szCs w:val="24"/>
          <w:lang w:eastAsia="es-ES"/>
          <w14:ligatures w14:val="none"/>
        </w:rPr>
        <w:t xml:space="preserve"> Todo transporte vertical y horizontal de cualquier material o equipo que requiera EL CONTRATISTA deberá considerarlo dentro de cada precio unitario.</w:t>
      </w:r>
    </w:p>
    <w:p w14:paraId="320517C8"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46A04460"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861D2">
        <w:rPr>
          <w:rFonts w:ascii="Times New Roman" w:eastAsia="Times New Roman" w:hAnsi="Times New Roman" w:cs="Times New Roman"/>
          <w:kern w:val="0"/>
          <w:sz w:val="24"/>
          <w:szCs w:val="24"/>
          <w:lang w:eastAsia="es-ES"/>
          <w14:ligatures w14:val="none"/>
        </w:rPr>
        <w:t xml:space="preserve">f. </w:t>
      </w:r>
      <w:r w:rsidRPr="00A4101F">
        <w:rPr>
          <w:rFonts w:ascii="Times New Roman" w:eastAsia="Times New Roman" w:hAnsi="Times New Roman" w:cs="Times New Roman"/>
          <w:b/>
          <w:bCs/>
          <w:kern w:val="0"/>
          <w:sz w:val="24"/>
          <w:szCs w:val="24"/>
          <w:lang w:eastAsia="es-ES"/>
          <w14:ligatures w14:val="none"/>
        </w:rPr>
        <w:t>Responsabilidad de sus empleados y daños causados</w:t>
      </w:r>
      <w:r w:rsidRPr="00A4101F">
        <w:rPr>
          <w:rFonts w:ascii="Times New Roman" w:eastAsia="Times New Roman" w:hAnsi="Times New Roman" w:cs="Times New Roman"/>
          <w:kern w:val="0"/>
          <w:sz w:val="24"/>
          <w:szCs w:val="24"/>
          <w:lang w:eastAsia="es-ES"/>
          <w14:ligatures w14:val="none"/>
        </w:rPr>
        <w:t>:</w:t>
      </w:r>
      <w:r w:rsidRPr="00A861D2">
        <w:rPr>
          <w:rFonts w:ascii="Times New Roman" w:eastAsia="Times New Roman" w:hAnsi="Times New Roman" w:cs="Times New Roman"/>
          <w:kern w:val="0"/>
          <w:sz w:val="24"/>
          <w:szCs w:val="24"/>
          <w:lang w:eastAsia="es-ES"/>
          <w14:ligatures w14:val="none"/>
        </w:rPr>
        <w:t xml:space="preserve"> EL CONTRATISTA, en su condición de empleador único, deberá cumplir con todas las disposiciones del Código de Trabajo, la Ley No. 87-01 que crea el Sistema Dominicano de Seguridad Social y demás leyes relativas al pago de compensaciones y beneficios de sus empleados, debiendo mantener indemne a la DGA frente a cualquier reclamación, cualquier juicio, demanda o reclamo por omisión de estos. </w:t>
      </w:r>
    </w:p>
    <w:p w14:paraId="04BD765C"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p>
    <w:p w14:paraId="0D6BF8A9" w14:textId="77777777" w:rsidR="00A861D2" w:rsidRPr="00A861D2" w:rsidRDefault="00A861D2" w:rsidP="00A861D2">
      <w:pPr>
        <w:spacing w:after="0" w:line="276" w:lineRule="auto"/>
        <w:jc w:val="both"/>
        <w:rPr>
          <w:rFonts w:ascii="Times New Roman" w:eastAsia="Times New Roman" w:hAnsi="Times New Roman" w:cs="Times New Roman"/>
          <w:kern w:val="0"/>
          <w:sz w:val="24"/>
          <w:szCs w:val="24"/>
          <w:lang w:eastAsia="es-ES"/>
          <w14:ligatures w14:val="none"/>
        </w:rPr>
      </w:pPr>
      <w:r w:rsidRPr="00A4101F">
        <w:rPr>
          <w:rFonts w:ascii="Times New Roman" w:eastAsia="Times New Roman" w:hAnsi="Times New Roman" w:cs="Times New Roman"/>
          <w:b/>
          <w:bCs/>
          <w:kern w:val="0"/>
          <w:sz w:val="24"/>
          <w:szCs w:val="24"/>
          <w:lang w:eastAsia="es-ES"/>
          <w14:ligatures w14:val="none"/>
        </w:rPr>
        <w:t xml:space="preserve">g. Seguridad de la Obra: </w:t>
      </w:r>
      <w:r w:rsidRPr="00A4101F">
        <w:rPr>
          <w:rFonts w:ascii="Times New Roman" w:eastAsia="Times New Roman" w:hAnsi="Times New Roman" w:cs="Times New Roman"/>
          <w:kern w:val="0"/>
          <w:sz w:val="24"/>
          <w:szCs w:val="24"/>
          <w:lang w:eastAsia="es-ES"/>
          <w14:ligatures w14:val="none"/>
        </w:rPr>
        <w:t>EL CONTRATISTA</w:t>
      </w:r>
      <w:r w:rsidRPr="00A861D2">
        <w:rPr>
          <w:rFonts w:ascii="Times New Roman" w:eastAsia="Times New Roman" w:hAnsi="Times New Roman" w:cs="Times New Roman"/>
          <w:kern w:val="0"/>
          <w:sz w:val="24"/>
          <w:szCs w:val="24"/>
          <w:lang w:eastAsia="es-ES"/>
          <w14:ligatures w14:val="none"/>
        </w:rPr>
        <w:t xml:space="preserve"> será responsable de la seguridad de la Obra hasta su entrega y recepción conforme por el AMA, por lo que cualquier daño a la misma previo a la entrega y recepción conforme será de su exclusiva responsabilidad. </w:t>
      </w:r>
    </w:p>
    <w:p w14:paraId="022F2073" w14:textId="77777777" w:rsidR="00A861D2" w:rsidRPr="00A861D2" w:rsidRDefault="00A861D2" w:rsidP="00A4101F">
      <w:pPr>
        <w:spacing w:after="0" w:line="276" w:lineRule="auto"/>
        <w:jc w:val="both"/>
        <w:rPr>
          <w:rFonts w:ascii="Times New Roman" w:eastAsia="Times New Roman" w:hAnsi="Times New Roman" w:cs="Times New Roman"/>
          <w:kern w:val="0"/>
          <w:sz w:val="24"/>
          <w:szCs w:val="24"/>
          <w:lang w:eastAsia="es-ES"/>
          <w14:ligatures w14:val="none"/>
        </w:rPr>
      </w:pPr>
    </w:p>
    <w:p w14:paraId="64FC7FF7" w14:textId="77777777" w:rsidR="00A861D2" w:rsidRPr="00A4101F" w:rsidRDefault="00A861D2" w:rsidP="00A4101F">
      <w:pPr>
        <w:spacing w:after="0" w:line="276" w:lineRule="auto"/>
        <w:jc w:val="both"/>
        <w:rPr>
          <w:rFonts w:ascii="Times New Roman" w:eastAsia="Times New Roman" w:hAnsi="Times New Roman" w:cs="Times New Roman"/>
          <w:kern w:val="0"/>
          <w:sz w:val="24"/>
          <w:szCs w:val="24"/>
          <w:lang w:eastAsia="es-ES"/>
          <w14:ligatures w14:val="none"/>
        </w:rPr>
      </w:pPr>
    </w:p>
    <w:p w14:paraId="6F05E348" w14:textId="77777777" w:rsidR="00A861D2" w:rsidRPr="00A4101F" w:rsidRDefault="00A861D2" w:rsidP="00A4101F">
      <w:pPr>
        <w:spacing w:after="0" w:line="276" w:lineRule="auto"/>
        <w:jc w:val="both"/>
        <w:rPr>
          <w:rFonts w:ascii="Times New Roman" w:eastAsia="Times New Roman" w:hAnsi="Times New Roman" w:cs="Times New Roman"/>
          <w:kern w:val="0"/>
          <w:sz w:val="24"/>
          <w:szCs w:val="24"/>
          <w:lang w:eastAsia="es-ES"/>
          <w14:ligatures w14:val="none"/>
        </w:rPr>
      </w:pPr>
    </w:p>
    <w:p w14:paraId="129ED764" w14:textId="77777777" w:rsidR="00A861D2" w:rsidRPr="00A861D2" w:rsidRDefault="00A861D2" w:rsidP="00A861D2">
      <w:pPr>
        <w:spacing w:line="276" w:lineRule="auto"/>
        <w:rPr>
          <w:sz w:val="24"/>
          <w:szCs w:val="24"/>
        </w:rPr>
      </w:pPr>
    </w:p>
    <w:sectPr w:rsidR="00A861D2" w:rsidRPr="00A861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1D2"/>
    <w:rsid w:val="00121D55"/>
    <w:rsid w:val="003C24F6"/>
    <w:rsid w:val="00701330"/>
    <w:rsid w:val="0077043A"/>
    <w:rsid w:val="008B40BE"/>
    <w:rsid w:val="009D4685"/>
    <w:rsid w:val="00A4101F"/>
    <w:rsid w:val="00A861D2"/>
    <w:rsid w:val="00B27E65"/>
    <w:rsid w:val="00BC42AF"/>
    <w:rsid w:val="00C97D8B"/>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82C2F"/>
  <w15:chartTrackingRefBased/>
  <w15:docId w15:val="{D0EC04F1-BA53-457A-BAC1-8873D5B0E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D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861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861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861D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861D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861D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861D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861D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861D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861D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861D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861D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861D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861D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861D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861D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861D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861D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861D2"/>
    <w:rPr>
      <w:rFonts w:eastAsiaTheme="majorEastAsia" w:cstheme="majorBidi"/>
      <w:color w:val="272727" w:themeColor="text1" w:themeTint="D8"/>
    </w:rPr>
  </w:style>
  <w:style w:type="paragraph" w:styleId="Ttulo">
    <w:name w:val="Title"/>
    <w:basedOn w:val="Normal"/>
    <w:next w:val="Normal"/>
    <w:link w:val="TtuloCar"/>
    <w:uiPriority w:val="10"/>
    <w:qFormat/>
    <w:rsid w:val="00A861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861D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861D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861D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861D2"/>
    <w:pPr>
      <w:spacing w:before="160"/>
      <w:jc w:val="center"/>
    </w:pPr>
    <w:rPr>
      <w:i/>
      <w:iCs/>
      <w:color w:val="404040" w:themeColor="text1" w:themeTint="BF"/>
    </w:rPr>
  </w:style>
  <w:style w:type="character" w:customStyle="1" w:styleId="CitaCar">
    <w:name w:val="Cita Car"/>
    <w:basedOn w:val="Fuentedeprrafopredeter"/>
    <w:link w:val="Cita"/>
    <w:uiPriority w:val="29"/>
    <w:rsid w:val="00A861D2"/>
    <w:rPr>
      <w:i/>
      <w:iCs/>
      <w:color w:val="404040" w:themeColor="text1" w:themeTint="BF"/>
    </w:rPr>
  </w:style>
  <w:style w:type="paragraph" w:styleId="Prrafodelista">
    <w:name w:val="List Paragraph"/>
    <w:basedOn w:val="Normal"/>
    <w:uiPriority w:val="34"/>
    <w:qFormat/>
    <w:rsid w:val="00A861D2"/>
    <w:pPr>
      <w:ind w:left="720"/>
      <w:contextualSpacing/>
    </w:pPr>
  </w:style>
  <w:style w:type="character" w:styleId="nfasisintenso">
    <w:name w:val="Intense Emphasis"/>
    <w:basedOn w:val="Fuentedeprrafopredeter"/>
    <w:uiPriority w:val="21"/>
    <w:qFormat/>
    <w:rsid w:val="00A861D2"/>
    <w:rPr>
      <w:i/>
      <w:iCs/>
      <w:color w:val="0F4761" w:themeColor="accent1" w:themeShade="BF"/>
    </w:rPr>
  </w:style>
  <w:style w:type="paragraph" w:styleId="Citadestacada">
    <w:name w:val="Intense Quote"/>
    <w:basedOn w:val="Normal"/>
    <w:next w:val="Normal"/>
    <w:link w:val="CitadestacadaCar"/>
    <w:uiPriority w:val="30"/>
    <w:qFormat/>
    <w:rsid w:val="00A861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861D2"/>
    <w:rPr>
      <w:i/>
      <w:iCs/>
      <w:color w:val="0F4761" w:themeColor="accent1" w:themeShade="BF"/>
    </w:rPr>
  </w:style>
  <w:style w:type="character" w:styleId="Referenciaintensa">
    <w:name w:val="Intense Reference"/>
    <w:basedOn w:val="Fuentedeprrafopredeter"/>
    <w:uiPriority w:val="32"/>
    <w:qFormat/>
    <w:rsid w:val="00A861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662</Words>
  <Characters>3644</Characters>
  <Application>Microsoft Office Word</Application>
  <DocSecurity>0</DocSecurity>
  <Lines>30</Lines>
  <Paragraphs>8</Paragraphs>
  <ScaleCrop>false</ScaleCrop>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Rijo Reyes</dc:creator>
  <cp:keywords/>
  <dc:description/>
  <cp:lastModifiedBy>Alfonsina Gonzalez Santos De Suarez</cp:lastModifiedBy>
  <cp:revision>2</cp:revision>
  <dcterms:created xsi:type="dcterms:W3CDTF">2024-09-04T18:31:00Z</dcterms:created>
  <dcterms:modified xsi:type="dcterms:W3CDTF">2024-09-04T18:31:00Z</dcterms:modified>
</cp:coreProperties>
</file>