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Licitación Pública Nacional Ref. No. </w:t>
      </w:r>
      <w:r>
        <w:rPr>
          <w:rFonts w:ascii="Arial" w:eastAsia="Arial" w:hAnsi="Arial" w:cs="Arial"/>
          <w:b/>
          <w:bCs/>
        </w:rPr>
        <w:t>BAGRICOLA-CCC-LPN-2026-0005</w:t>
      </w:r>
      <w:r>
        <w:rPr>
          <w:rFonts w:ascii="Arial" w:eastAsia="Arial" w:hAnsi="Arial" w:cs="Arial"/>
        </w:rPr>
        <w:t xml:space="preserve"> — </w:t>
      </w:r>
      <w:r>
        <w:rPr>
          <w:rFonts w:ascii="Arial" w:eastAsia="Arial" w:hAnsi="Arial" w:cs="Arial"/>
          <w:b/>
          <w:bCs/>
        </w:rPr>
        <w:t>CONTRATACIÓN DE SERVICIOS PARA LA RENOVACIÓN DE LICENCIAS Y SERVICIOS DE SOPORTE DE CISCO SECURE ACCESS</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licitación pública nacional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BAGRICOLA-CCC-LPN-2026-0005</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LPN</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